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E57554">
      <w:pPr>
        <w:pStyle w:val="2"/>
        <w:rPr>
          <w:rFonts w:ascii="仿宋_GB2312" w:hAnsi="仿宋_GB2312" w:eastAsia="仿宋_GB2312" w:cs="仿宋_GB2312"/>
        </w:rPr>
      </w:pPr>
      <w:bookmarkStart w:id="0" w:name="_top"/>
      <w:bookmarkEnd w:id="0"/>
      <w:bookmarkStart w:id="1" w:name="_Toc3421"/>
      <w:r>
        <w:rPr>
          <w:rFonts w:hint="eastAsia" w:ascii="仿宋_GB2312" w:hAnsi="仿宋_GB2312" w:eastAsia="仿宋_GB2312" w:cs="仿宋_GB2312"/>
        </w:rPr>
        <w:t>服务要求</w:t>
      </w:r>
      <w:bookmarkEnd w:id="1"/>
      <w:bookmarkStart w:id="2" w:name="第四部分"/>
      <w:bookmarkStart w:id="3" w:name="_Toc8398"/>
      <w:bookmarkStart w:id="4" w:name="_Toc18362"/>
      <w:bookmarkStart w:id="5" w:name="_Toc28569"/>
      <w:bookmarkStart w:id="6" w:name="_Toc3724_WPSOffice_Level1"/>
      <w:bookmarkStart w:id="7" w:name="_Toc4431_WPSOffice_Level1"/>
      <w:bookmarkStart w:id="8" w:name="_Toc2681"/>
      <w:bookmarkStart w:id="9" w:name="_Toc14251"/>
    </w:p>
    <w:p w14:paraId="79D2F4F3">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（如本章内容与遴选文件其它章节内容有冲突，应以本部分内容为准。）</w:t>
      </w:r>
    </w:p>
    <w:p w14:paraId="2D0BFB86">
      <w:pPr>
        <w:pStyle w:val="53"/>
        <w:spacing w:line="360" w:lineRule="auto"/>
        <w:rPr>
          <w:rFonts w:ascii="仿宋_GB2312" w:hAnsi="仿宋_GB2312" w:eastAsia="仿宋_GB2312" w:cs="仿宋_GB2312"/>
          <w:sz w:val="24"/>
        </w:rPr>
      </w:pPr>
    </w:p>
    <w:p w14:paraId="3FBD173A">
      <w:pPr>
        <w:pStyle w:val="53"/>
        <w:numPr>
          <w:ilvl w:val="0"/>
          <w:numId w:val="5"/>
        </w:num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项目背景</w:t>
      </w:r>
    </w:p>
    <w:p w14:paraId="5430D3DA">
      <w:pPr>
        <w:pStyle w:val="53"/>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网络安全等级保护制度是国家网络安全保障工作的基本制度、基本国策和基本方法是促进信息化健康发展，维护国家安全、社会秩序和公共利益的根本保障。</w:t>
      </w:r>
    </w:p>
    <w:p w14:paraId="703C2C7B">
      <w:pPr>
        <w:pStyle w:val="53"/>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应公安部、国家保密局、国家密码管理局、国务院信息化工作办公室制定的《信息安全等级保护管理办法》（公通字 [2007]43号）、《关于开展信息安全等级保护安全建设整改工作的指导意见》（公信安[2009]1429号）、《关于推动信息安全等级保护测评体系建设和开展等级测评工作的通知》（公信安[2010]303号）要求，伴随着首博数字化转型的内生需求，网络安全越发成为在日常工作中重要的组成部分。</w:t>
      </w:r>
    </w:p>
    <w:p w14:paraId="4F83662A">
      <w:pPr>
        <w:pStyle w:val="53"/>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网络安全法》第二十一条：“国家实行网络安全等级保护制度。网络运营者应当按照网络安全等级保护制度的要求，履行下列安全保护义务，保障网络免受干扰、破坏或者未经授权的访问，防止网络数据泄露或者被窃取、篡改”的规定，首都博物馆对备案的信息系统按照重要程度进行等级保护，按等级实行管理、分等级响应处置。该项工作包括：向公安机关报备网络安全运行状态和安全工作响应、开展等级测评、安全合规整改，接收监督检查。</w:t>
      </w:r>
    </w:p>
    <w:p w14:paraId="7EF34048">
      <w:pPr>
        <w:pStyle w:val="53"/>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本项目拟选择具备等级测评资质的公司协助开展等级测评工作，通过测评和协助整改，帮助首博已定级备案的系统，达到合格的安全状态。</w:t>
      </w:r>
      <w:r>
        <w:rPr>
          <w:rFonts w:hint="eastAsia" w:ascii="仿宋_GB2312" w:hAnsi="仿宋_GB2312" w:eastAsia="仿宋_GB2312" w:cs="仿宋_GB2312"/>
          <w:sz w:val="24"/>
          <w:szCs w:val="24"/>
        </w:rPr>
        <w:tab/>
      </w:r>
    </w:p>
    <w:p w14:paraId="54F600FE">
      <w:pPr>
        <w:pStyle w:val="53"/>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二、商务条件</w:t>
      </w:r>
    </w:p>
    <w:p w14:paraId="7C90ED68">
      <w:pPr>
        <w:pStyle w:val="53"/>
        <w:spacing w:line="360" w:lineRule="auto"/>
        <w:rPr>
          <w:rFonts w:ascii="仿宋_GB2312" w:hAnsi="仿宋_GB2312" w:eastAsia="仿宋_GB2312" w:cs="仿宋_GB2312"/>
          <w:sz w:val="24"/>
        </w:rPr>
      </w:pPr>
      <w:r>
        <w:rPr>
          <w:rFonts w:hint="eastAsia" w:ascii="仿宋_GB2312" w:hAnsi="仿宋_GB2312" w:eastAsia="仿宋_GB2312" w:cs="仿宋_GB2312"/>
          <w:sz w:val="24"/>
        </w:rPr>
        <w:t>1、服务进度要求</w:t>
      </w:r>
    </w:p>
    <w:p w14:paraId="5EF0A684">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第一阶段：项目启动后20个工作日内完成信息收集。</w:t>
      </w:r>
    </w:p>
    <w:p w14:paraId="5130F9FB">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第二阶段：30个工作日内完成相关测评工作，并配合甲方进行整改。</w:t>
      </w:r>
    </w:p>
    <w:p w14:paraId="5EF2FED4">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第三阶段：30个工作日内完成复测。</w:t>
      </w:r>
    </w:p>
    <w:p w14:paraId="2B26F364">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第四阶段：10个工作日内向西城区网安报送测评报告。系统通过测评，达到合格的安全状态后进行项目验收。</w:t>
      </w:r>
    </w:p>
    <w:p w14:paraId="10541E25">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在上述四个阶段可同时开展网络安全情况摸排、安全咨询、安全管理制度编制，文档整理、培训等工作。</w:t>
      </w:r>
    </w:p>
    <w:p w14:paraId="06152A9E">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以上时间段均不重叠。</w:t>
      </w:r>
    </w:p>
    <w:p w14:paraId="75109336">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服务期间，供应商还需开展北京大运河博物馆官方网站的测评服务工作，接洽首博分支机构所在地网安备案、检查等事宜。</w:t>
      </w:r>
    </w:p>
    <w:p w14:paraId="17EC7814">
      <w:pPr>
        <w:pStyle w:val="53"/>
        <w:spacing w:line="360" w:lineRule="auto"/>
        <w:rPr>
          <w:rFonts w:ascii="仿宋_GB2312" w:hAnsi="仿宋_GB2312" w:eastAsia="仿宋_GB2312" w:cs="仿宋_GB2312"/>
          <w:sz w:val="24"/>
        </w:rPr>
      </w:pPr>
      <w:r>
        <w:rPr>
          <w:rFonts w:hint="eastAsia" w:ascii="仿宋_GB2312" w:hAnsi="仿宋_GB2312" w:eastAsia="仿宋_GB2312" w:cs="仿宋_GB2312"/>
          <w:sz w:val="24"/>
        </w:rPr>
        <w:t>2、支付条件</w:t>
      </w:r>
    </w:p>
    <w:p w14:paraId="65C75BAC">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szCs w:val="24"/>
        </w:rPr>
        <w:t>合同签订之日起10个工作日内，采购人支付成交供应商服务费用的70%。本项目经采购人验收合格后5个工作日内，采购人支付剩余费用支付。</w:t>
      </w:r>
    </w:p>
    <w:p w14:paraId="2C14CF78">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采购人每次支付费用，成交供应商需提供合规的相应金额发票。本项目资金为财政性资金，费用支付前提为财政性资金到达采购人账户，若因财政性资金未达到采购人账户导致的支付延期，采购人不承担延期支付责任。</w:t>
      </w:r>
    </w:p>
    <w:p w14:paraId="3567FD58">
      <w:pPr>
        <w:pStyle w:val="53"/>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三、服务内容</w:t>
      </w:r>
    </w:p>
    <w:p w14:paraId="716EEF22">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首都博物馆本次测评的系统为北京大运河博物馆官方网站、首都博物馆APP（含小程序）、首博网络基础环境3个三级系统，以及办公自动化系统、首博官方网站2个二级系统。</w:t>
      </w:r>
      <w:r>
        <w:rPr>
          <w:rFonts w:hint="eastAsia" w:ascii="仿宋_GB2312" w:hAnsi="仿宋_GB2312" w:eastAsia="仿宋_GB2312" w:cs="仿宋_GB2312"/>
          <w:sz w:val="24"/>
        </w:rPr>
        <w:t>供应商在采购人的组织下开展等级测评、配合安全合规整改，辅助系统备案报送与迎检。以《信息系统等级保护测评报告》为项目交付成果。</w:t>
      </w:r>
      <w:r>
        <w:rPr>
          <w:rFonts w:hint="eastAsia" w:ascii="仿宋_GB2312" w:hAnsi="仿宋_GB2312" w:eastAsia="仿宋_GB2312" w:cs="仿宋_GB2312"/>
          <w:sz w:val="24"/>
          <w:szCs w:val="24"/>
        </w:rPr>
        <w:t>同时，还需对首博各分支机构的网络安全情况进行摸排、技术检测及文档编辑整理工作，对现有其他重要系统进行梳理，对整体网络进行分析，提交整体安全评估报告。</w:t>
      </w:r>
      <w:r>
        <w:rPr>
          <w:rFonts w:hint="eastAsia" w:ascii="仿宋_GB2312" w:hAnsi="仿宋_GB2312" w:eastAsia="仿宋_GB2312" w:cs="仿宋_GB2312"/>
          <w:sz w:val="24"/>
          <w:szCs w:val="24"/>
          <w:lang w:val="en-US" w:eastAsia="zh-CN"/>
        </w:rPr>
        <w:t>配合首博编制整改记录技术资料。</w:t>
      </w:r>
      <w:r>
        <w:rPr>
          <w:rFonts w:hint="eastAsia" w:ascii="仿宋_GB2312" w:hAnsi="仿宋_GB2312" w:eastAsia="仿宋_GB2312" w:cs="仿宋_GB2312"/>
          <w:sz w:val="24"/>
          <w:szCs w:val="24"/>
        </w:rPr>
        <w:t>编制网络安全管理制度及落地方案、信息系统管理制度及落地方案。对在建系统提供安全咨询服务。能对涉及信息化的相关部门进行多轮次的网络安全宣教培训，以达到首都博物馆网络安全的整体战略规划目标。</w:t>
      </w:r>
      <w:r>
        <w:rPr>
          <w:rFonts w:hint="eastAsia" w:ascii="仿宋_GB2312" w:hAnsi="仿宋_GB2312" w:eastAsia="仿宋_GB2312" w:cs="仿宋_GB2312"/>
          <w:sz w:val="24"/>
        </w:rPr>
        <w:t>在项目结束前供应商协助采购人通过等保系统定级认证。相关文档需经采购人认可后才能作为最终提交物。</w:t>
      </w:r>
    </w:p>
    <w:p w14:paraId="47D8E735">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每系统检测目标点涵盖安全物理环境15项、安全网络通信4项、安全区域边界11项、安全计算环境23项、安全管理中心4项、安全管理制度6项、安全管理机构9项、安全管理人员7项、安全建设管理25项、安全运维管理31项。合计135项。</w:t>
      </w:r>
    </w:p>
    <w:p w14:paraId="672ABFD5">
      <w:pPr>
        <w:pStyle w:val="53"/>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本次等保定级测评服务具体内容如下。</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382"/>
        <w:gridCol w:w="2605"/>
        <w:gridCol w:w="2648"/>
        <w:gridCol w:w="1708"/>
      </w:tblGrid>
      <w:tr w14:paraId="3140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338" w:type="pct"/>
            <w:vMerge w:val="restart"/>
            <w:tcBorders>
              <w:top w:val="single" w:color="000000" w:sz="4" w:space="0"/>
              <w:left w:val="single" w:color="000000" w:sz="4" w:space="0"/>
              <w:bottom w:val="single" w:color="000000" w:sz="4" w:space="0"/>
              <w:right w:val="single" w:color="000000" w:sz="4" w:space="0"/>
            </w:tcBorders>
            <w:vAlign w:val="center"/>
          </w:tcPr>
          <w:p w14:paraId="6E0E3793">
            <w:pPr>
              <w:spacing w:line="2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772" w:type="pct"/>
            <w:vMerge w:val="restart"/>
            <w:tcBorders>
              <w:top w:val="single" w:color="000000" w:sz="4" w:space="0"/>
              <w:left w:val="single" w:color="000000" w:sz="4" w:space="0"/>
              <w:bottom w:val="single" w:color="000000" w:sz="4" w:space="0"/>
              <w:right w:val="single" w:color="000000" w:sz="4" w:space="0"/>
            </w:tcBorders>
            <w:vAlign w:val="center"/>
          </w:tcPr>
          <w:p w14:paraId="32770381">
            <w:pPr>
              <w:spacing w:line="2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服务项目</w:t>
            </w:r>
          </w:p>
        </w:tc>
        <w:tc>
          <w:tcPr>
            <w:tcW w:w="1455" w:type="pct"/>
            <w:vMerge w:val="restart"/>
            <w:tcBorders>
              <w:top w:val="single" w:color="000000" w:sz="4" w:space="0"/>
              <w:left w:val="single" w:color="000000" w:sz="4" w:space="0"/>
              <w:bottom w:val="single" w:color="000000" w:sz="4" w:space="0"/>
              <w:right w:val="single" w:color="000000" w:sz="4" w:space="0"/>
            </w:tcBorders>
            <w:vAlign w:val="center"/>
          </w:tcPr>
          <w:p w14:paraId="1ACE4482">
            <w:pPr>
              <w:spacing w:line="2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子项</w:t>
            </w:r>
          </w:p>
        </w:tc>
        <w:tc>
          <w:tcPr>
            <w:tcW w:w="1479" w:type="pct"/>
            <w:vMerge w:val="restart"/>
            <w:tcBorders>
              <w:top w:val="single" w:color="000000" w:sz="4" w:space="0"/>
              <w:left w:val="single" w:color="000000" w:sz="4" w:space="0"/>
              <w:bottom w:val="single" w:color="000000" w:sz="4" w:space="0"/>
              <w:right w:val="single" w:color="000000" w:sz="4" w:space="0"/>
            </w:tcBorders>
            <w:vAlign w:val="center"/>
          </w:tcPr>
          <w:p w14:paraId="7626DE21">
            <w:pPr>
              <w:spacing w:line="2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服务内容</w:t>
            </w:r>
          </w:p>
        </w:tc>
        <w:tc>
          <w:tcPr>
            <w:tcW w:w="954" w:type="pct"/>
            <w:vMerge w:val="restart"/>
            <w:tcBorders>
              <w:top w:val="single" w:color="000000" w:sz="4" w:space="0"/>
              <w:left w:val="single" w:color="000000" w:sz="4" w:space="0"/>
              <w:bottom w:val="single" w:color="000000" w:sz="4" w:space="0"/>
              <w:right w:val="single" w:color="000000" w:sz="4" w:space="0"/>
            </w:tcBorders>
            <w:vAlign w:val="center"/>
          </w:tcPr>
          <w:p w14:paraId="4C248CF3">
            <w:pPr>
              <w:spacing w:line="2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提交物</w:t>
            </w:r>
          </w:p>
        </w:tc>
      </w:tr>
      <w:tr w14:paraId="554D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338" w:type="pct"/>
            <w:vMerge w:val="continue"/>
            <w:tcBorders>
              <w:top w:val="single" w:color="000000" w:sz="4" w:space="0"/>
              <w:left w:val="single" w:color="000000" w:sz="4" w:space="0"/>
              <w:bottom w:val="single" w:color="000000" w:sz="4" w:space="0"/>
              <w:right w:val="single" w:color="000000" w:sz="4" w:space="0"/>
            </w:tcBorders>
            <w:vAlign w:val="center"/>
          </w:tcPr>
          <w:p w14:paraId="073C0C9F">
            <w:pPr>
              <w:spacing w:line="240" w:lineRule="exact"/>
              <w:jc w:val="center"/>
              <w:rPr>
                <w:rFonts w:hint="eastAsia" w:ascii="仿宋" w:hAnsi="仿宋" w:eastAsia="仿宋" w:cs="仿宋"/>
                <w:b/>
                <w:bCs/>
                <w:color w:val="000000"/>
                <w:sz w:val="24"/>
                <w:szCs w:val="24"/>
              </w:rPr>
            </w:pPr>
          </w:p>
        </w:tc>
        <w:tc>
          <w:tcPr>
            <w:tcW w:w="772" w:type="pct"/>
            <w:vMerge w:val="continue"/>
            <w:tcBorders>
              <w:top w:val="single" w:color="000000" w:sz="4" w:space="0"/>
              <w:left w:val="single" w:color="000000" w:sz="4" w:space="0"/>
              <w:bottom w:val="single" w:color="000000" w:sz="4" w:space="0"/>
              <w:right w:val="single" w:color="000000" w:sz="4" w:space="0"/>
            </w:tcBorders>
            <w:vAlign w:val="center"/>
          </w:tcPr>
          <w:p w14:paraId="25BCE809">
            <w:pPr>
              <w:spacing w:line="240" w:lineRule="exact"/>
              <w:jc w:val="center"/>
              <w:rPr>
                <w:rFonts w:hint="eastAsia" w:ascii="仿宋" w:hAnsi="仿宋" w:eastAsia="仿宋" w:cs="仿宋"/>
                <w:b/>
                <w:bCs/>
                <w:color w:val="000000"/>
                <w:sz w:val="24"/>
                <w:szCs w:val="24"/>
              </w:rPr>
            </w:pPr>
          </w:p>
        </w:tc>
        <w:tc>
          <w:tcPr>
            <w:tcW w:w="1455" w:type="pct"/>
            <w:vMerge w:val="continue"/>
            <w:tcBorders>
              <w:top w:val="single" w:color="000000" w:sz="4" w:space="0"/>
              <w:left w:val="single" w:color="000000" w:sz="4" w:space="0"/>
              <w:bottom w:val="single" w:color="000000" w:sz="4" w:space="0"/>
              <w:right w:val="single" w:color="000000" w:sz="4" w:space="0"/>
            </w:tcBorders>
            <w:vAlign w:val="center"/>
          </w:tcPr>
          <w:p w14:paraId="5B1E648E">
            <w:pPr>
              <w:spacing w:line="240" w:lineRule="exact"/>
              <w:jc w:val="center"/>
              <w:rPr>
                <w:rFonts w:hint="eastAsia" w:ascii="仿宋" w:hAnsi="仿宋" w:eastAsia="仿宋" w:cs="仿宋"/>
                <w:b/>
                <w:bCs/>
                <w:color w:val="000000"/>
                <w:sz w:val="24"/>
                <w:szCs w:val="24"/>
              </w:rPr>
            </w:pPr>
          </w:p>
        </w:tc>
        <w:tc>
          <w:tcPr>
            <w:tcW w:w="1479" w:type="pct"/>
            <w:vMerge w:val="continue"/>
            <w:tcBorders>
              <w:top w:val="single" w:color="000000" w:sz="4" w:space="0"/>
              <w:left w:val="single" w:color="000000" w:sz="4" w:space="0"/>
              <w:bottom w:val="single" w:color="000000" w:sz="4" w:space="0"/>
              <w:right w:val="single" w:color="000000" w:sz="4" w:space="0"/>
            </w:tcBorders>
            <w:vAlign w:val="center"/>
          </w:tcPr>
          <w:p w14:paraId="380479C6">
            <w:pPr>
              <w:spacing w:line="240" w:lineRule="exact"/>
              <w:jc w:val="center"/>
              <w:rPr>
                <w:rFonts w:hint="eastAsia" w:ascii="仿宋" w:hAnsi="仿宋" w:eastAsia="仿宋" w:cs="仿宋"/>
                <w:b/>
                <w:bCs/>
                <w:color w:val="000000"/>
                <w:sz w:val="24"/>
                <w:szCs w:val="24"/>
              </w:rPr>
            </w:pPr>
          </w:p>
        </w:tc>
        <w:tc>
          <w:tcPr>
            <w:tcW w:w="954" w:type="pct"/>
            <w:vMerge w:val="continue"/>
            <w:tcBorders>
              <w:top w:val="single" w:color="000000" w:sz="4" w:space="0"/>
              <w:left w:val="single" w:color="000000" w:sz="4" w:space="0"/>
              <w:bottom w:val="single" w:color="000000" w:sz="4" w:space="0"/>
              <w:right w:val="single" w:color="000000" w:sz="4" w:space="0"/>
            </w:tcBorders>
            <w:vAlign w:val="center"/>
          </w:tcPr>
          <w:p w14:paraId="1EC060C5">
            <w:pPr>
              <w:spacing w:line="240" w:lineRule="exact"/>
              <w:jc w:val="center"/>
              <w:rPr>
                <w:rFonts w:hint="eastAsia" w:ascii="仿宋" w:hAnsi="仿宋" w:eastAsia="仿宋" w:cs="仿宋"/>
                <w:b/>
                <w:bCs/>
                <w:color w:val="000000"/>
                <w:sz w:val="24"/>
                <w:szCs w:val="24"/>
              </w:rPr>
            </w:pPr>
          </w:p>
        </w:tc>
      </w:tr>
      <w:tr w14:paraId="76DD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8" w:type="pct"/>
            <w:vMerge w:val="restart"/>
            <w:tcBorders>
              <w:top w:val="single" w:color="000000" w:sz="4" w:space="0"/>
              <w:left w:val="single" w:color="000000" w:sz="4" w:space="0"/>
              <w:bottom w:val="single" w:color="000000" w:sz="4" w:space="0"/>
              <w:right w:val="single" w:color="000000" w:sz="4" w:space="0"/>
            </w:tcBorders>
            <w:vAlign w:val="center"/>
          </w:tcPr>
          <w:p w14:paraId="0E21DA7E">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772" w:type="pct"/>
            <w:vMerge w:val="restart"/>
            <w:tcBorders>
              <w:top w:val="single" w:color="000000" w:sz="4" w:space="0"/>
              <w:left w:val="single" w:color="000000" w:sz="4" w:space="0"/>
              <w:bottom w:val="single" w:color="000000" w:sz="4" w:space="0"/>
              <w:right w:val="single" w:color="000000" w:sz="4" w:space="0"/>
            </w:tcBorders>
            <w:vAlign w:val="center"/>
          </w:tcPr>
          <w:p w14:paraId="43C7D317">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差距性分析</w:t>
            </w:r>
          </w:p>
        </w:tc>
        <w:tc>
          <w:tcPr>
            <w:tcW w:w="1455" w:type="pct"/>
            <w:tcBorders>
              <w:top w:val="single" w:color="000000" w:sz="4" w:space="0"/>
              <w:left w:val="single" w:color="000000" w:sz="4" w:space="0"/>
              <w:bottom w:val="single" w:color="000000" w:sz="4" w:space="0"/>
              <w:right w:val="single" w:color="000000" w:sz="4" w:space="0"/>
            </w:tcBorders>
            <w:vAlign w:val="center"/>
          </w:tcPr>
          <w:p w14:paraId="63F9DF7D">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实施方案设计</w:t>
            </w:r>
          </w:p>
        </w:tc>
        <w:tc>
          <w:tcPr>
            <w:tcW w:w="1479" w:type="pct"/>
            <w:tcBorders>
              <w:top w:val="single" w:color="000000" w:sz="4" w:space="0"/>
              <w:left w:val="single" w:color="000000" w:sz="4" w:space="0"/>
              <w:bottom w:val="single" w:color="000000" w:sz="4" w:space="0"/>
              <w:right w:val="single" w:color="000000" w:sz="4" w:space="0"/>
            </w:tcBorders>
            <w:vAlign w:val="center"/>
          </w:tcPr>
          <w:p w14:paraId="03FF98DA">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针对调研结果，设计差距分析的实施方案，包括：评估方法、流程、指标选取、工具等</w:t>
            </w:r>
          </w:p>
        </w:tc>
        <w:tc>
          <w:tcPr>
            <w:tcW w:w="954" w:type="pct"/>
            <w:vMerge w:val="restart"/>
            <w:tcBorders>
              <w:top w:val="single" w:color="000000" w:sz="4" w:space="0"/>
              <w:left w:val="single" w:color="000000" w:sz="4" w:space="0"/>
              <w:bottom w:val="single" w:color="000000" w:sz="4" w:space="0"/>
              <w:right w:val="single" w:color="000000" w:sz="4" w:space="0"/>
            </w:tcBorders>
            <w:vAlign w:val="center"/>
          </w:tcPr>
          <w:p w14:paraId="7F979FE2">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《信息系统问题汇总以及差距分析报告》</w:t>
            </w:r>
          </w:p>
        </w:tc>
      </w:tr>
      <w:tr w14:paraId="5A6D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38" w:type="pct"/>
            <w:vMerge w:val="continue"/>
            <w:tcBorders>
              <w:top w:val="single" w:color="000000" w:sz="4" w:space="0"/>
              <w:left w:val="single" w:color="000000" w:sz="4" w:space="0"/>
              <w:bottom w:val="single" w:color="000000" w:sz="4" w:space="0"/>
              <w:right w:val="single" w:color="000000" w:sz="4" w:space="0"/>
            </w:tcBorders>
            <w:vAlign w:val="center"/>
          </w:tcPr>
          <w:p w14:paraId="303FB68C">
            <w:pPr>
              <w:spacing w:line="360" w:lineRule="auto"/>
              <w:jc w:val="center"/>
              <w:rPr>
                <w:rFonts w:ascii="仿宋_GB2312" w:hAnsi="仿宋_GB2312" w:eastAsia="仿宋_GB2312" w:cs="仿宋_GB2312"/>
                <w:kern w:val="0"/>
                <w:sz w:val="24"/>
                <w:szCs w:val="24"/>
              </w:rPr>
            </w:pPr>
          </w:p>
        </w:tc>
        <w:tc>
          <w:tcPr>
            <w:tcW w:w="772" w:type="pct"/>
            <w:vMerge w:val="continue"/>
            <w:tcBorders>
              <w:top w:val="single" w:color="000000" w:sz="4" w:space="0"/>
              <w:left w:val="single" w:color="000000" w:sz="4" w:space="0"/>
              <w:bottom w:val="single" w:color="000000" w:sz="4" w:space="0"/>
              <w:right w:val="single" w:color="000000" w:sz="4" w:space="0"/>
            </w:tcBorders>
            <w:vAlign w:val="center"/>
          </w:tcPr>
          <w:p w14:paraId="174AF5D9">
            <w:pPr>
              <w:spacing w:line="360" w:lineRule="auto"/>
              <w:jc w:val="center"/>
              <w:rPr>
                <w:rFonts w:ascii="仿宋_GB2312" w:hAnsi="仿宋_GB2312" w:eastAsia="仿宋_GB2312" w:cs="仿宋_GB2312"/>
                <w:kern w:val="0"/>
                <w:sz w:val="24"/>
                <w:szCs w:val="24"/>
              </w:rPr>
            </w:pPr>
          </w:p>
        </w:tc>
        <w:tc>
          <w:tcPr>
            <w:tcW w:w="1455" w:type="pct"/>
            <w:tcBorders>
              <w:top w:val="single" w:color="000000" w:sz="4" w:space="0"/>
              <w:left w:val="single" w:color="000000" w:sz="4" w:space="0"/>
              <w:bottom w:val="single" w:color="000000" w:sz="4" w:space="0"/>
              <w:right w:val="single" w:color="000000" w:sz="4" w:space="0"/>
            </w:tcBorders>
            <w:vAlign w:val="center"/>
          </w:tcPr>
          <w:p w14:paraId="31C64945">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安全技术脆弱性识别</w:t>
            </w:r>
          </w:p>
        </w:tc>
        <w:tc>
          <w:tcPr>
            <w:tcW w:w="1479" w:type="pct"/>
            <w:tcBorders>
              <w:top w:val="single" w:color="000000" w:sz="4" w:space="0"/>
              <w:left w:val="single" w:color="000000" w:sz="4" w:space="0"/>
              <w:bottom w:val="single" w:color="000000" w:sz="4" w:space="0"/>
              <w:right w:val="single" w:color="000000" w:sz="4" w:space="0"/>
            </w:tcBorders>
            <w:vAlign w:val="center"/>
          </w:tcPr>
          <w:p w14:paraId="1EF5A1D4">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对各信息系统安全技术层面要求进行差距分析，找出不符合项与部分符合项</w:t>
            </w:r>
          </w:p>
        </w:tc>
        <w:tc>
          <w:tcPr>
            <w:tcW w:w="954" w:type="pct"/>
            <w:vMerge w:val="continue"/>
            <w:tcBorders>
              <w:top w:val="single" w:color="000000" w:sz="4" w:space="0"/>
              <w:left w:val="single" w:color="000000" w:sz="4" w:space="0"/>
              <w:bottom w:val="single" w:color="000000" w:sz="4" w:space="0"/>
              <w:right w:val="single" w:color="000000" w:sz="4" w:space="0"/>
            </w:tcBorders>
            <w:vAlign w:val="center"/>
          </w:tcPr>
          <w:p w14:paraId="504DF99D">
            <w:pPr>
              <w:spacing w:line="360" w:lineRule="auto"/>
              <w:jc w:val="center"/>
              <w:rPr>
                <w:rFonts w:ascii="仿宋_GB2312" w:hAnsi="仿宋_GB2312" w:eastAsia="仿宋_GB2312" w:cs="仿宋_GB2312"/>
                <w:kern w:val="0"/>
                <w:sz w:val="24"/>
                <w:szCs w:val="24"/>
              </w:rPr>
            </w:pPr>
          </w:p>
        </w:tc>
      </w:tr>
      <w:tr w14:paraId="0C75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8" w:type="pct"/>
            <w:vMerge w:val="continue"/>
            <w:tcBorders>
              <w:top w:val="single" w:color="000000" w:sz="4" w:space="0"/>
              <w:left w:val="single" w:color="000000" w:sz="4" w:space="0"/>
              <w:bottom w:val="single" w:color="000000" w:sz="4" w:space="0"/>
              <w:right w:val="single" w:color="000000" w:sz="4" w:space="0"/>
            </w:tcBorders>
            <w:vAlign w:val="center"/>
          </w:tcPr>
          <w:p w14:paraId="416B12CA">
            <w:pPr>
              <w:spacing w:line="360" w:lineRule="auto"/>
              <w:jc w:val="center"/>
              <w:rPr>
                <w:rFonts w:ascii="仿宋_GB2312" w:hAnsi="仿宋_GB2312" w:eastAsia="仿宋_GB2312" w:cs="仿宋_GB2312"/>
                <w:kern w:val="0"/>
                <w:sz w:val="24"/>
                <w:szCs w:val="24"/>
              </w:rPr>
            </w:pPr>
          </w:p>
        </w:tc>
        <w:tc>
          <w:tcPr>
            <w:tcW w:w="772" w:type="pct"/>
            <w:vMerge w:val="continue"/>
            <w:tcBorders>
              <w:top w:val="single" w:color="000000" w:sz="4" w:space="0"/>
              <w:left w:val="single" w:color="000000" w:sz="4" w:space="0"/>
              <w:bottom w:val="single" w:color="000000" w:sz="4" w:space="0"/>
              <w:right w:val="single" w:color="000000" w:sz="4" w:space="0"/>
            </w:tcBorders>
            <w:vAlign w:val="center"/>
          </w:tcPr>
          <w:p w14:paraId="43BCB237">
            <w:pPr>
              <w:spacing w:line="360" w:lineRule="auto"/>
              <w:jc w:val="center"/>
              <w:rPr>
                <w:rFonts w:ascii="仿宋_GB2312" w:hAnsi="仿宋_GB2312" w:eastAsia="仿宋_GB2312" w:cs="仿宋_GB2312"/>
                <w:kern w:val="0"/>
                <w:sz w:val="24"/>
                <w:szCs w:val="24"/>
              </w:rPr>
            </w:pPr>
          </w:p>
        </w:tc>
        <w:tc>
          <w:tcPr>
            <w:tcW w:w="1455" w:type="pct"/>
            <w:tcBorders>
              <w:top w:val="single" w:color="000000" w:sz="4" w:space="0"/>
              <w:left w:val="single" w:color="000000" w:sz="4" w:space="0"/>
              <w:bottom w:val="single" w:color="000000" w:sz="4" w:space="0"/>
              <w:right w:val="single" w:color="000000" w:sz="4" w:space="0"/>
            </w:tcBorders>
            <w:vAlign w:val="center"/>
          </w:tcPr>
          <w:p w14:paraId="390DB1DC">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安全管理脆弱性识别</w:t>
            </w:r>
          </w:p>
        </w:tc>
        <w:tc>
          <w:tcPr>
            <w:tcW w:w="1479" w:type="pct"/>
            <w:tcBorders>
              <w:top w:val="single" w:color="000000" w:sz="4" w:space="0"/>
              <w:left w:val="single" w:color="000000" w:sz="4" w:space="0"/>
              <w:bottom w:val="single" w:color="000000" w:sz="4" w:space="0"/>
              <w:right w:val="single" w:color="000000" w:sz="4" w:space="0"/>
            </w:tcBorders>
            <w:vAlign w:val="center"/>
          </w:tcPr>
          <w:p w14:paraId="5D6D2281">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对各信息系统安全管理层面要求进行差距分析，找出不符合项与部分符合项</w:t>
            </w:r>
          </w:p>
        </w:tc>
        <w:tc>
          <w:tcPr>
            <w:tcW w:w="954" w:type="pct"/>
            <w:vMerge w:val="continue"/>
            <w:tcBorders>
              <w:top w:val="single" w:color="000000" w:sz="4" w:space="0"/>
              <w:left w:val="single" w:color="000000" w:sz="4" w:space="0"/>
              <w:bottom w:val="single" w:color="000000" w:sz="4" w:space="0"/>
              <w:right w:val="single" w:color="000000" w:sz="4" w:space="0"/>
            </w:tcBorders>
            <w:vAlign w:val="center"/>
          </w:tcPr>
          <w:p w14:paraId="3ED1AA0C">
            <w:pPr>
              <w:spacing w:line="360" w:lineRule="auto"/>
              <w:jc w:val="center"/>
              <w:rPr>
                <w:rFonts w:ascii="仿宋_GB2312" w:hAnsi="仿宋_GB2312" w:eastAsia="仿宋_GB2312" w:cs="仿宋_GB2312"/>
                <w:kern w:val="0"/>
                <w:sz w:val="24"/>
                <w:szCs w:val="24"/>
              </w:rPr>
            </w:pPr>
          </w:p>
        </w:tc>
      </w:tr>
      <w:tr w14:paraId="528F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8" w:type="pct"/>
            <w:vMerge w:val="continue"/>
            <w:tcBorders>
              <w:top w:val="single" w:color="000000" w:sz="4" w:space="0"/>
              <w:left w:val="single" w:color="000000" w:sz="4" w:space="0"/>
              <w:bottom w:val="single" w:color="000000" w:sz="4" w:space="0"/>
              <w:right w:val="single" w:color="000000" w:sz="4" w:space="0"/>
            </w:tcBorders>
            <w:vAlign w:val="center"/>
          </w:tcPr>
          <w:p w14:paraId="0CF7D78D">
            <w:pPr>
              <w:spacing w:line="360" w:lineRule="auto"/>
              <w:jc w:val="center"/>
              <w:rPr>
                <w:rFonts w:ascii="仿宋_GB2312" w:hAnsi="仿宋_GB2312" w:eastAsia="仿宋_GB2312" w:cs="仿宋_GB2312"/>
                <w:kern w:val="0"/>
                <w:sz w:val="24"/>
                <w:szCs w:val="24"/>
              </w:rPr>
            </w:pPr>
          </w:p>
        </w:tc>
        <w:tc>
          <w:tcPr>
            <w:tcW w:w="772" w:type="pct"/>
            <w:vMerge w:val="continue"/>
            <w:tcBorders>
              <w:top w:val="single" w:color="000000" w:sz="4" w:space="0"/>
              <w:left w:val="single" w:color="000000" w:sz="4" w:space="0"/>
              <w:bottom w:val="single" w:color="000000" w:sz="4" w:space="0"/>
              <w:right w:val="single" w:color="000000" w:sz="4" w:space="0"/>
            </w:tcBorders>
            <w:vAlign w:val="center"/>
          </w:tcPr>
          <w:p w14:paraId="1B14F159">
            <w:pPr>
              <w:spacing w:line="360" w:lineRule="auto"/>
              <w:jc w:val="center"/>
              <w:rPr>
                <w:rFonts w:ascii="仿宋_GB2312" w:hAnsi="仿宋_GB2312" w:eastAsia="仿宋_GB2312" w:cs="仿宋_GB2312"/>
                <w:kern w:val="0"/>
                <w:sz w:val="24"/>
                <w:szCs w:val="24"/>
              </w:rPr>
            </w:pPr>
          </w:p>
        </w:tc>
        <w:tc>
          <w:tcPr>
            <w:tcW w:w="1455" w:type="pct"/>
            <w:tcBorders>
              <w:top w:val="single" w:color="000000" w:sz="4" w:space="0"/>
              <w:left w:val="single" w:color="000000" w:sz="4" w:space="0"/>
              <w:bottom w:val="single" w:color="000000" w:sz="4" w:space="0"/>
              <w:right w:val="single" w:color="000000" w:sz="4" w:space="0"/>
            </w:tcBorders>
            <w:vAlign w:val="center"/>
          </w:tcPr>
          <w:p w14:paraId="0D7BB4DC">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漏洞扫描</w:t>
            </w:r>
          </w:p>
        </w:tc>
        <w:tc>
          <w:tcPr>
            <w:tcW w:w="1479" w:type="pct"/>
            <w:tcBorders>
              <w:top w:val="single" w:color="000000" w:sz="4" w:space="0"/>
              <w:left w:val="single" w:color="000000" w:sz="4" w:space="0"/>
              <w:bottom w:val="single" w:color="000000" w:sz="4" w:space="0"/>
              <w:right w:val="single" w:color="000000" w:sz="4" w:space="0"/>
            </w:tcBorders>
            <w:vAlign w:val="center"/>
          </w:tcPr>
          <w:p w14:paraId="5DD60103">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对各业务系统相关资产开展漏洞扫描工作，识别出信息系统存在的安全漏洞</w:t>
            </w:r>
          </w:p>
        </w:tc>
        <w:tc>
          <w:tcPr>
            <w:tcW w:w="954" w:type="pct"/>
            <w:vMerge w:val="continue"/>
            <w:tcBorders>
              <w:top w:val="single" w:color="000000" w:sz="4" w:space="0"/>
              <w:left w:val="single" w:color="000000" w:sz="4" w:space="0"/>
              <w:bottom w:val="single" w:color="000000" w:sz="4" w:space="0"/>
              <w:right w:val="single" w:color="000000" w:sz="4" w:space="0"/>
            </w:tcBorders>
            <w:vAlign w:val="center"/>
          </w:tcPr>
          <w:p w14:paraId="75F1A68E">
            <w:pPr>
              <w:spacing w:line="360" w:lineRule="auto"/>
              <w:jc w:val="center"/>
              <w:rPr>
                <w:rFonts w:ascii="仿宋_GB2312" w:hAnsi="仿宋_GB2312" w:eastAsia="仿宋_GB2312" w:cs="仿宋_GB2312"/>
                <w:kern w:val="0"/>
                <w:sz w:val="24"/>
                <w:szCs w:val="24"/>
              </w:rPr>
            </w:pPr>
          </w:p>
        </w:tc>
      </w:tr>
      <w:tr w14:paraId="45DE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8" w:type="pct"/>
            <w:vMerge w:val="continue"/>
            <w:tcBorders>
              <w:top w:val="single" w:color="000000" w:sz="4" w:space="0"/>
              <w:left w:val="single" w:color="000000" w:sz="4" w:space="0"/>
              <w:bottom w:val="single" w:color="000000" w:sz="4" w:space="0"/>
              <w:right w:val="single" w:color="000000" w:sz="4" w:space="0"/>
            </w:tcBorders>
            <w:vAlign w:val="center"/>
          </w:tcPr>
          <w:p w14:paraId="673911BC">
            <w:pPr>
              <w:spacing w:line="360" w:lineRule="auto"/>
              <w:jc w:val="center"/>
              <w:rPr>
                <w:rFonts w:ascii="仿宋_GB2312" w:hAnsi="仿宋_GB2312" w:eastAsia="仿宋_GB2312" w:cs="仿宋_GB2312"/>
                <w:kern w:val="0"/>
                <w:sz w:val="24"/>
                <w:szCs w:val="24"/>
              </w:rPr>
            </w:pPr>
          </w:p>
        </w:tc>
        <w:tc>
          <w:tcPr>
            <w:tcW w:w="772" w:type="pct"/>
            <w:vMerge w:val="continue"/>
            <w:tcBorders>
              <w:top w:val="single" w:color="000000" w:sz="4" w:space="0"/>
              <w:left w:val="single" w:color="000000" w:sz="4" w:space="0"/>
              <w:bottom w:val="single" w:color="000000" w:sz="4" w:space="0"/>
              <w:right w:val="single" w:color="000000" w:sz="4" w:space="0"/>
            </w:tcBorders>
            <w:vAlign w:val="center"/>
          </w:tcPr>
          <w:p w14:paraId="136A43FF">
            <w:pPr>
              <w:spacing w:line="360" w:lineRule="auto"/>
              <w:jc w:val="center"/>
              <w:rPr>
                <w:rFonts w:ascii="仿宋_GB2312" w:hAnsi="仿宋_GB2312" w:eastAsia="仿宋_GB2312" w:cs="仿宋_GB2312"/>
                <w:kern w:val="0"/>
                <w:sz w:val="24"/>
                <w:szCs w:val="24"/>
              </w:rPr>
            </w:pPr>
          </w:p>
        </w:tc>
        <w:tc>
          <w:tcPr>
            <w:tcW w:w="1455" w:type="pct"/>
            <w:tcBorders>
              <w:top w:val="single" w:color="000000" w:sz="4" w:space="0"/>
              <w:left w:val="single" w:color="000000" w:sz="4" w:space="0"/>
              <w:bottom w:val="single" w:color="000000" w:sz="4" w:space="0"/>
              <w:right w:val="single" w:color="000000" w:sz="4" w:space="0"/>
            </w:tcBorders>
            <w:vAlign w:val="center"/>
          </w:tcPr>
          <w:p w14:paraId="6EBF5A49">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已有安全措施识别</w:t>
            </w:r>
          </w:p>
        </w:tc>
        <w:tc>
          <w:tcPr>
            <w:tcW w:w="1479" w:type="pct"/>
            <w:tcBorders>
              <w:top w:val="single" w:color="000000" w:sz="4" w:space="0"/>
              <w:left w:val="single" w:color="000000" w:sz="4" w:space="0"/>
              <w:bottom w:val="single" w:color="000000" w:sz="4" w:space="0"/>
              <w:right w:val="single" w:color="000000" w:sz="4" w:space="0"/>
            </w:tcBorders>
            <w:vAlign w:val="center"/>
          </w:tcPr>
          <w:p w14:paraId="3DF79BC1">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识别已部署安全措施，并对安全措施的合理性与有效行进行分析</w:t>
            </w:r>
          </w:p>
        </w:tc>
        <w:tc>
          <w:tcPr>
            <w:tcW w:w="954" w:type="pct"/>
            <w:vMerge w:val="continue"/>
            <w:tcBorders>
              <w:top w:val="single" w:color="000000" w:sz="4" w:space="0"/>
              <w:left w:val="single" w:color="000000" w:sz="4" w:space="0"/>
              <w:bottom w:val="single" w:color="000000" w:sz="4" w:space="0"/>
              <w:right w:val="single" w:color="000000" w:sz="4" w:space="0"/>
            </w:tcBorders>
            <w:vAlign w:val="center"/>
          </w:tcPr>
          <w:p w14:paraId="5F1F110E">
            <w:pPr>
              <w:spacing w:line="360" w:lineRule="auto"/>
              <w:jc w:val="center"/>
              <w:rPr>
                <w:rFonts w:ascii="仿宋_GB2312" w:hAnsi="仿宋_GB2312" w:eastAsia="仿宋_GB2312" w:cs="仿宋_GB2312"/>
                <w:kern w:val="0"/>
                <w:sz w:val="24"/>
                <w:szCs w:val="24"/>
              </w:rPr>
            </w:pPr>
          </w:p>
        </w:tc>
      </w:tr>
      <w:tr w14:paraId="0DC5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38" w:type="pct"/>
            <w:vMerge w:val="continue"/>
            <w:tcBorders>
              <w:top w:val="single" w:color="000000" w:sz="4" w:space="0"/>
              <w:left w:val="single" w:color="000000" w:sz="4" w:space="0"/>
              <w:bottom w:val="single" w:color="000000" w:sz="4" w:space="0"/>
              <w:right w:val="single" w:color="000000" w:sz="4" w:space="0"/>
            </w:tcBorders>
            <w:vAlign w:val="center"/>
          </w:tcPr>
          <w:p w14:paraId="7772A222">
            <w:pPr>
              <w:spacing w:line="360" w:lineRule="auto"/>
              <w:jc w:val="center"/>
              <w:rPr>
                <w:rFonts w:ascii="仿宋_GB2312" w:hAnsi="仿宋_GB2312" w:eastAsia="仿宋_GB2312" w:cs="仿宋_GB2312"/>
                <w:kern w:val="0"/>
                <w:sz w:val="24"/>
                <w:szCs w:val="24"/>
              </w:rPr>
            </w:pPr>
          </w:p>
        </w:tc>
        <w:tc>
          <w:tcPr>
            <w:tcW w:w="772" w:type="pct"/>
            <w:vMerge w:val="continue"/>
            <w:tcBorders>
              <w:top w:val="single" w:color="000000" w:sz="4" w:space="0"/>
              <w:left w:val="single" w:color="000000" w:sz="4" w:space="0"/>
              <w:bottom w:val="single" w:color="000000" w:sz="4" w:space="0"/>
              <w:right w:val="single" w:color="000000" w:sz="4" w:space="0"/>
            </w:tcBorders>
            <w:vAlign w:val="center"/>
          </w:tcPr>
          <w:p w14:paraId="03C2F9D3">
            <w:pPr>
              <w:spacing w:line="360" w:lineRule="auto"/>
              <w:jc w:val="center"/>
              <w:rPr>
                <w:rFonts w:ascii="仿宋_GB2312" w:hAnsi="仿宋_GB2312" w:eastAsia="仿宋_GB2312" w:cs="仿宋_GB2312"/>
                <w:kern w:val="0"/>
                <w:sz w:val="24"/>
                <w:szCs w:val="24"/>
              </w:rPr>
            </w:pPr>
          </w:p>
        </w:tc>
        <w:tc>
          <w:tcPr>
            <w:tcW w:w="1455" w:type="pct"/>
            <w:tcBorders>
              <w:top w:val="single" w:color="000000" w:sz="4" w:space="0"/>
              <w:left w:val="single" w:color="000000" w:sz="4" w:space="0"/>
              <w:bottom w:val="single" w:color="000000" w:sz="4" w:space="0"/>
              <w:right w:val="single" w:color="000000" w:sz="4" w:space="0"/>
            </w:tcBorders>
            <w:vAlign w:val="center"/>
          </w:tcPr>
          <w:p w14:paraId="69F6D6B6">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分析结果研判</w:t>
            </w:r>
          </w:p>
        </w:tc>
        <w:tc>
          <w:tcPr>
            <w:tcW w:w="1479" w:type="pct"/>
            <w:tcBorders>
              <w:top w:val="single" w:color="000000" w:sz="4" w:space="0"/>
              <w:left w:val="single" w:color="000000" w:sz="4" w:space="0"/>
              <w:bottom w:val="single" w:color="000000" w:sz="4" w:space="0"/>
              <w:right w:val="single" w:color="000000" w:sz="4" w:space="0"/>
            </w:tcBorders>
            <w:vAlign w:val="center"/>
          </w:tcPr>
          <w:p w14:paraId="3D97F3C3">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对测试结果进行分析和判断，确保差距分析结果的有效行与合理性</w:t>
            </w:r>
          </w:p>
        </w:tc>
        <w:tc>
          <w:tcPr>
            <w:tcW w:w="954" w:type="pct"/>
            <w:vMerge w:val="continue"/>
            <w:tcBorders>
              <w:top w:val="single" w:color="000000" w:sz="4" w:space="0"/>
              <w:left w:val="single" w:color="000000" w:sz="4" w:space="0"/>
              <w:bottom w:val="single" w:color="000000" w:sz="4" w:space="0"/>
              <w:right w:val="single" w:color="000000" w:sz="4" w:space="0"/>
            </w:tcBorders>
            <w:vAlign w:val="center"/>
          </w:tcPr>
          <w:p w14:paraId="096F4C0C">
            <w:pPr>
              <w:spacing w:line="360" w:lineRule="auto"/>
              <w:jc w:val="center"/>
              <w:rPr>
                <w:rFonts w:ascii="仿宋_GB2312" w:hAnsi="仿宋_GB2312" w:eastAsia="仿宋_GB2312" w:cs="仿宋_GB2312"/>
                <w:kern w:val="0"/>
                <w:sz w:val="24"/>
                <w:szCs w:val="24"/>
              </w:rPr>
            </w:pPr>
          </w:p>
        </w:tc>
      </w:tr>
      <w:tr w14:paraId="549A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38" w:type="pct"/>
            <w:vMerge w:val="restart"/>
            <w:tcBorders>
              <w:top w:val="single" w:color="000000" w:sz="4" w:space="0"/>
              <w:left w:val="single" w:color="000000" w:sz="4" w:space="0"/>
              <w:right w:val="single" w:color="000000" w:sz="4" w:space="0"/>
            </w:tcBorders>
            <w:vAlign w:val="center"/>
          </w:tcPr>
          <w:p w14:paraId="5C3A2464">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772" w:type="pct"/>
            <w:vMerge w:val="restart"/>
            <w:tcBorders>
              <w:top w:val="single" w:color="000000" w:sz="4" w:space="0"/>
              <w:left w:val="single" w:color="000000" w:sz="4" w:space="0"/>
              <w:right w:val="single" w:color="000000" w:sz="4" w:space="0"/>
            </w:tcBorders>
            <w:vAlign w:val="center"/>
          </w:tcPr>
          <w:p w14:paraId="3D92E718">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协助整改建设</w:t>
            </w:r>
          </w:p>
        </w:tc>
        <w:tc>
          <w:tcPr>
            <w:tcW w:w="1455" w:type="pct"/>
            <w:tcBorders>
              <w:top w:val="single" w:color="000000" w:sz="4" w:space="0"/>
              <w:left w:val="single" w:color="000000" w:sz="4" w:space="0"/>
              <w:bottom w:val="single" w:color="000000" w:sz="4" w:space="0"/>
              <w:right w:val="single" w:color="000000" w:sz="4" w:space="0"/>
            </w:tcBorders>
            <w:vAlign w:val="center"/>
          </w:tcPr>
          <w:p w14:paraId="47B86A98">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安全策略整改建议</w:t>
            </w:r>
          </w:p>
        </w:tc>
        <w:tc>
          <w:tcPr>
            <w:tcW w:w="1479" w:type="pct"/>
            <w:tcBorders>
              <w:top w:val="single" w:color="000000" w:sz="4" w:space="0"/>
              <w:left w:val="single" w:color="000000" w:sz="4" w:space="0"/>
              <w:bottom w:val="single" w:color="000000" w:sz="4" w:space="0"/>
              <w:right w:val="single" w:color="000000" w:sz="4" w:space="0"/>
            </w:tcBorders>
            <w:vAlign w:val="center"/>
          </w:tcPr>
          <w:p w14:paraId="08DE321F">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依据差距分析结果，结合业务实际情况对框架内容进行详细划分，形成安全策略</w:t>
            </w:r>
          </w:p>
        </w:tc>
        <w:tc>
          <w:tcPr>
            <w:tcW w:w="954" w:type="pct"/>
            <w:vMerge w:val="restart"/>
            <w:tcBorders>
              <w:top w:val="single" w:color="000000" w:sz="4" w:space="0"/>
              <w:left w:val="single" w:color="000000" w:sz="4" w:space="0"/>
              <w:bottom w:val="single" w:color="000000" w:sz="4" w:space="0"/>
              <w:right w:val="single" w:color="000000" w:sz="4" w:space="0"/>
            </w:tcBorders>
            <w:vAlign w:val="center"/>
          </w:tcPr>
          <w:p w14:paraId="4F358E20">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《信息系统整改建议书》</w:t>
            </w:r>
          </w:p>
        </w:tc>
      </w:tr>
      <w:tr w14:paraId="117A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38" w:type="pct"/>
            <w:vMerge w:val="continue"/>
            <w:tcBorders>
              <w:left w:val="single" w:color="000000" w:sz="4" w:space="0"/>
              <w:right w:val="single" w:color="000000" w:sz="4" w:space="0"/>
            </w:tcBorders>
            <w:vAlign w:val="center"/>
          </w:tcPr>
          <w:p w14:paraId="3E2F9BA6">
            <w:pPr>
              <w:spacing w:line="360" w:lineRule="auto"/>
              <w:jc w:val="center"/>
              <w:rPr>
                <w:rFonts w:ascii="仿宋_GB2312" w:hAnsi="仿宋_GB2312" w:eastAsia="仿宋_GB2312" w:cs="仿宋_GB2312"/>
                <w:kern w:val="0"/>
                <w:sz w:val="24"/>
                <w:szCs w:val="24"/>
              </w:rPr>
            </w:pPr>
          </w:p>
        </w:tc>
        <w:tc>
          <w:tcPr>
            <w:tcW w:w="772" w:type="pct"/>
            <w:vMerge w:val="continue"/>
            <w:tcBorders>
              <w:left w:val="single" w:color="000000" w:sz="4" w:space="0"/>
              <w:right w:val="single" w:color="000000" w:sz="4" w:space="0"/>
            </w:tcBorders>
            <w:vAlign w:val="center"/>
          </w:tcPr>
          <w:p w14:paraId="4373101D">
            <w:pPr>
              <w:spacing w:line="360" w:lineRule="auto"/>
              <w:jc w:val="center"/>
              <w:rPr>
                <w:rFonts w:ascii="仿宋_GB2312" w:hAnsi="仿宋_GB2312" w:eastAsia="仿宋_GB2312" w:cs="仿宋_GB2312"/>
                <w:kern w:val="0"/>
                <w:sz w:val="24"/>
                <w:szCs w:val="24"/>
              </w:rPr>
            </w:pPr>
          </w:p>
        </w:tc>
        <w:tc>
          <w:tcPr>
            <w:tcW w:w="1455" w:type="pct"/>
            <w:tcBorders>
              <w:top w:val="single" w:color="000000" w:sz="4" w:space="0"/>
              <w:left w:val="single" w:color="000000" w:sz="4" w:space="0"/>
              <w:bottom w:val="single" w:color="000000" w:sz="4" w:space="0"/>
              <w:right w:val="single" w:color="000000" w:sz="4" w:space="0"/>
            </w:tcBorders>
            <w:vAlign w:val="center"/>
          </w:tcPr>
          <w:p w14:paraId="303DF616">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技术体系整改建议</w:t>
            </w:r>
          </w:p>
        </w:tc>
        <w:tc>
          <w:tcPr>
            <w:tcW w:w="1479" w:type="pct"/>
            <w:tcBorders>
              <w:top w:val="single" w:color="000000" w:sz="4" w:space="0"/>
              <w:left w:val="single" w:color="000000" w:sz="4" w:space="0"/>
              <w:bottom w:val="single" w:color="000000" w:sz="4" w:space="0"/>
              <w:right w:val="single" w:color="000000" w:sz="4" w:space="0"/>
            </w:tcBorders>
            <w:vAlign w:val="center"/>
          </w:tcPr>
          <w:p w14:paraId="541683C1">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依据差距分析结果，结合安全策略内容，编制技术体系整改措施</w:t>
            </w:r>
          </w:p>
        </w:tc>
        <w:tc>
          <w:tcPr>
            <w:tcW w:w="954" w:type="pct"/>
            <w:vMerge w:val="continue"/>
            <w:tcBorders>
              <w:top w:val="single" w:color="000000" w:sz="4" w:space="0"/>
              <w:left w:val="single" w:color="000000" w:sz="4" w:space="0"/>
              <w:bottom w:val="single" w:color="000000" w:sz="4" w:space="0"/>
              <w:right w:val="single" w:color="000000" w:sz="4" w:space="0"/>
            </w:tcBorders>
            <w:vAlign w:val="center"/>
          </w:tcPr>
          <w:p w14:paraId="7EC9742D">
            <w:pPr>
              <w:spacing w:line="360" w:lineRule="auto"/>
              <w:jc w:val="center"/>
              <w:rPr>
                <w:rFonts w:ascii="仿宋_GB2312" w:hAnsi="仿宋_GB2312" w:eastAsia="仿宋_GB2312" w:cs="仿宋_GB2312"/>
                <w:kern w:val="0"/>
                <w:sz w:val="24"/>
                <w:szCs w:val="24"/>
              </w:rPr>
            </w:pPr>
          </w:p>
        </w:tc>
      </w:tr>
      <w:tr w14:paraId="571F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38" w:type="pct"/>
            <w:vMerge w:val="continue"/>
            <w:tcBorders>
              <w:left w:val="single" w:color="000000" w:sz="4" w:space="0"/>
              <w:right w:val="single" w:color="000000" w:sz="4" w:space="0"/>
            </w:tcBorders>
            <w:vAlign w:val="center"/>
          </w:tcPr>
          <w:p w14:paraId="32DEE68F">
            <w:pPr>
              <w:spacing w:line="360" w:lineRule="auto"/>
              <w:jc w:val="center"/>
              <w:rPr>
                <w:rFonts w:ascii="仿宋_GB2312" w:hAnsi="仿宋_GB2312" w:eastAsia="仿宋_GB2312" w:cs="仿宋_GB2312"/>
                <w:kern w:val="0"/>
                <w:sz w:val="24"/>
                <w:szCs w:val="24"/>
              </w:rPr>
            </w:pPr>
          </w:p>
        </w:tc>
        <w:tc>
          <w:tcPr>
            <w:tcW w:w="772" w:type="pct"/>
            <w:vMerge w:val="continue"/>
            <w:tcBorders>
              <w:left w:val="single" w:color="000000" w:sz="4" w:space="0"/>
              <w:right w:val="single" w:color="000000" w:sz="4" w:space="0"/>
            </w:tcBorders>
            <w:vAlign w:val="center"/>
          </w:tcPr>
          <w:p w14:paraId="2C3FCB3A">
            <w:pPr>
              <w:spacing w:line="360" w:lineRule="auto"/>
              <w:jc w:val="center"/>
              <w:rPr>
                <w:rFonts w:ascii="仿宋_GB2312" w:hAnsi="仿宋_GB2312" w:eastAsia="仿宋_GB2312" w:cs="仿宋_GB2312"/>
                <w:kern w:val="0"/>
                <w:sz w:val="24"/>
                <w:szCs w:val="24"/>
              </w:rPr>
            </w:pPr>
          </w:p>
        </w:tc>
        <w:tc>
          <w:tcPr>
            <w:tcW w:w="1455" w:type="pct"/>
            <w:tcBorders>
              <w:top w:val="single" w:color="000000" w:sz="4" w:space="0"/>
              <w:left w:val="single" w:color="000000" w:sz="4" w:space="0"/>
              <w:bottom w:val="single" w:color="000000" w:sz="4" w:space="0"/>
              <w:right w:val="single" w:color="000000" w:sz="4" w:space="0"/>
            </w:tcBorders>
            <w:vAlign w:val="center"/>
          </w:tcPr>
          <w:p w14:paraId="26642A4B">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管理体系整改建议</w:t>
            </w:r>
          </w:p>
        </w:tc>
        <w:tc>
          <w:tcPr>
            <w:tcW w:w="1479" w:type="pct"/>
            <w:tcBorders>
              <w:top w:val="single" w:color="000000" w:sz="4" w:space="0"/>
              <w:left w:val="single" w:color="000000" w:sz="4" w:space="0"/>
              <w:bottom w:val="single" w:color="000000" w:sz="4" w:space="0"/>
              <w:right w:val="single" w:color="000000" w:sz="4" w:space="0"/>
            </w:tcBorders>
            <w:vAlign w:val="center"/>
          </w:tcPr>
          <w:p w14:paraId="6BB737E4">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依据差距分析结果，结合安全策略内容，编制管理体系整改措施</w:t>
            </w:r>
          </w:p>
        </w:tc>
        <w:tc>
          <w:tcPr>
            <w:tcW w:w="954" w:type="pct"/>
            <w:vMerge w:val="continue"/>
            <w:tcBorders>
              <w:top w:val="single" w:color="000000" w:sz="4" w:space="0"/>
              <w:left w:val="single" w:color="000000" w:sz="4" w:space="0"/>
              <w:bottom w:val="single" w:color="000000" w:sz="4" w:space="0"/>
              <w:right w:val="single" w:color="000000" w:sz="4" w:space="0"/>
            </w:tcBorders>
            <w:vAlign w:val="center"/>
          </w:tcPr>
          <w:p w14:paraId="6EE80BF4">
            <w:pPr>
              <w:spacing w:line="360" w:lineRule="auto"/>
              <w:jc w:val="center"/>
              <w:rPr>
                <w:rFonts w:ascii="仿宋_GB2312" w:hAnsi="仿宋_GB2312" w:eastAsia="仿宋_GB2312" w:cs="仿宋_GB2312"/>
                <w:kern w:val="0"/>
                <w:sz w:val="24"/>
                <w:szCs w:val="24"/>
              </w:rPr>
            </w:pPr>
          </w:p>
        </w:tc>
      </w:tr>
      <w:tr w14:paraId="237C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38" w:type="pct"/>
            <w:vMerge w:val="continue"/>
            <w:tcBorders>
              <w:left w:val="single" w:color="000000" w:sz="4" w:space="0"/>
              <w:bottom w:val="single" w:color="000000" w:sz="4" w:space="0"/>
              <w:right w:val="single" w:color="000000" w:sz="4" w:space="0"/>
            </w:tcBorders>
            <w:vAlign w:val="center"/>
          </w:tcPr>
          <w:p w14:paraId="6E713F26">
            <w:pPr>
              <w:spacing w:line="360" w:lineRule="auto"/>
              <w:jc w:val="center"/>
              <w:rPr>
                <w:rFonts w:ascii="仿宋_GB2312" w:hAnsi="仿宋_GB2312" w:eastAsia="仿宋_GB2312" w:cs="仿宋_GB2312"/>
                <w:kern w:val="0"/>
                <w:sz w:val="24"/>
                <w:szCs w:val="24"/>
              </w:rPr>
            </w:pPr>
          </w:p>
        </w:tc>
        <w:tc>
          <w:tcPr>
            <w:tcW w:w="772" w:type="pct"/>
            <w:vMerge w:val="continue"/>
            <w:tcBorders>
              <w:left w:val="single" w:color="000000" w:sz="4" w:space="0"/>
              <w:bottom w:val="single" w:color="000000" w:sz="4" w:space="0"/>
              <w:right w:val="single" w:color="000000" w:sz="4" w:space="0"/>
            </w:tcBorders>
            <w:vAlign w:val="center"/>
          </w:tcPr>
          <w:p w14:paraId="09907CF5">
            <w:pPr>
              <w:spacing w:line="360" w:lineRule="auto"/>
              <w:jc w:val="center"/>
              <w:rPr>
                <w:rFonts w:ascii="仿宋_GB2312" w:hAnsi="仿宋_GB2312" w:eastAsia="仿宋_GB2312" w:cs="仿宋_GB2312"/>
                <w:kern w:val="0"/>
                <w:sz w:val="24"/>
                <w:szCs w:val="24"/>
              </w:rPr>
            </w:pPr>
          </w:p>
        </w:tc>
        <w:tc>
          <w:tcPr>
            <w:tcW w:w="1455" w:type="pct"/>
            <w:tcBorders>
              <w:top w:val="single" w:color="000000" w:sz="4" w:space="0"/>
              <w:left w:val="single" w:color="000000" w:sz="4" w:space="0"/>
              <w:bottom w:val="single" w:color="000000" w:sz="4" w:space="0"/>
              <w:right w:val="single" w:color="000000" w:sz="4" w:space="0"/>
            </w:tcBorders>
            <w:vAlign w:val="center"/>
          </w:tcPr>
          <w:p w14:paraId="07168911">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网络拓扑图结构进行梳理调优</w:t>
            </w:r>
          </w:p>
        </w:tc>
        <w:tc>
          <w:tcPr>
            <w:tcW w:w="1479" w:type="pct"/>
            <w:tcBorders>
              <w:top w:val="single" w:color="000000" w:sz="4" w:space="0"/>
              <w:left w:val="single" w:color="000000" w:sz="4" w:space="0"/>
              <w:bottom w:val="single" w:color="000000" w:sz="4" w:space="0"/>
              <w:right w:val="single" w:color="000000" w:sz="4" w:space="0"/>
            </w:tcBorders>
            <w:vAlign w:val="center"/>
          </w:tcPr>
          <w:p w14:paraId="0694FE49">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对现有网络的整体拓扑图进行合理设计并美观展现</w:t>
            </w:r>
          </w:p>
        </w:tc>
        <w:tc>
          <w:tcPr>
            <w:tcW w:w="954" w:type="pct"/>
            <w:tcBorders>
              <w:top w:val="single" w:color="000000" w:sz="4" w:space="0"/>
              <w:left w:val="single" w:color="000000" w:sz="4" w:space="0"/>
              <w:bottom w:val="single" w:color="000000" w:sz="4" w:space="0"/>
              <w:right w:val="single" w:color="000000" w:sz="4" w:space="0"/>
            </w:tcBorders>
            <w:vAlign w:val="center"/>
          </w:tcPr>
          <w:p w14:paraId="1CEBF756">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《系统拓扑图》、《网络节点图》</w:t>
            </w:r>
          </w:p>
        </w:tc>
      </w:tr>
      <w:tr w14:paraId="40E5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38" w:type="pct"/>
            <w:vMerge w:val="restart"/>
            <w:tcBorders>
              <w:top w:val="single" w:color="000000" w:sz="4" w:space="0"/>
              <w:left w:val="single" w:color="000000" w:sz="4" w:space="0"/>
              <w:right w:val="single" w:color="000000" w:sz="4" w:space="0"/>
            </w:tcBorders>
            <w:vAlign w:val="center"/>
          </w:tcPr>
          <w:p w14:paraId="740729A0">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772" w:type="pct"/>
            <w:vMerge w:val="restart"/>
            <w:tcBorders>
              <w:top w:val="single" w:color="000000" w:sz="4" w:space="0"/>
              <w:left w:val="single" w:color="000000" w:sz="4" w:space="0"/>
              <w:right w:val="single" w:color="000000" w:sz="4" w:space="0"/>
            </w:tcBorders>
            <w:vAlign w:val="center"/>
          </w:tcPr>
          <w:p w14:paraId="51D4C9AC">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安全管理文档梳理以及制度建立</w:t>
            </w:r>
          </w:p>
        </w:tc>
        <w:tc>
          <w:tcPr>
            <w:tcW w:w="1455" w:type="pct"/>
            <w:tcBorders>
              <w:top w:val="single" w:color="000000" w:sz="4" w:space="0"/>
              <w:left w:val="single" w:color="000000" w:sz="4" w:space="0"/>
              <w:bottom w:val="single" w:color="000000" w:sz="4" w:space="0"/>
              <w:right w:val="single" w:color="000000" w:sz="4" w:space="0"/>
            </w:tcBorders>
            <w:vAlign w:val="center"/>
          </w:tcPr>
          <w:p w14:paraId="6B49B0B6">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安全管理文档梳理</w:t>
            </w:r>
          </w:p>
        </w:tc>
        <w:tc>
          <w:tcPr>
            <w:tcW w:w="1479" w:type="pct"/>
            <w:tcBorders>
              <w:top w:val="single" w:color="000000" w:sz="4" w:space="0"/>
              <w:left w:val="single" w:color="000000" w:sz="4" w:space="0"/>
              <w:bottom w:val="single" w:color="000000" w:sz="4" w:space="0"/>
              <w:right w:val="single" w:color="000000" w:sz="4" w:space="0"/>
            </w:tcBorders>
            <w:vAlign w:val="center"/>
          </w:tcPr>
          <w:p w14:paraId="050D1F2C">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依据差距分析结果，结合安全策略内容，协助编制完善各类文档及方案。</w:t>
            </w:r>
          </w:p>
          <w:p w14:paraId="63718192">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对现有系统进行全面的制度管理性文档建立。</w:t>
            </w:r>
          </w:p>
        </w:tc>
        <w:tc>
          <w:tcPr>
            <w:tcW w:w="954" w:type="pct"/>
            <w:tcBorders>
              <w:top w:val="single" w:color="000000" w:sz="4" w:space="0"/>
              <w:left w:val="single" w:color="000000" w:sz="4" w:space="0"/>
              <w:bottom w:val="single" w:color="000000" w:sz="4" w:space="0"/>
              <w:right w:val="single" w:color="000000" w:sz="4" w:space="0"/>
            </w:tcBorders>
            <w:vAlign w:val="center"/>
          </w:tcPr>
          <w:p w14:paraId="1484ACC9">
            <w:pPr>
              <w:spacing w:line="360" w:lineRule="auto"/>
              <w:jc w:val="center"/>
              <w:rPr>
                <w:rFonts w:ascii="仿宋_GB2312" w:hAnsi="仿宋_GB2312" w:eastAsia="仿宋_GB2312" w:cs="仿宋_GB2312"/>
                <w:kern w:val="0"/>
                <w:sz w:val="24"/>
                <w:szCs w:val="24"/>
              </w:rPr>
            </w:pPr>
          </w:p>
        </w:tc>
      </w:tr>
      <w:tr w14:paraId="3B47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38" w:type="pct"/>
            <w:vMerge w:val="continue"/>
            <w:tcBorders>
              <w:left w:val="single" w:color="000000" w:sz="4" w:space="0"/>
              <w:bottom w:val="single" w:color="000000" w:sz="4" w:space="0"/>
              <w:right w:val="single" w:color="000000" w:sz="4" w:space="0"/>
            </w:tcBorders>
            <w:vAlign w:val="center"/>
          </w:tcPr>
          <w:p w14:paraId="3AAD5108">
            <w:pPr>
              <w:spacing w:line="360" w:lineRule="auto"/>
              <w:jc w:val="center"/>
              <w:rPr>
                <w:rFonts w:ascii="仿宋_GB2312" w:hAnsi="仿宋_GB2312" w:eastAsia="仿宋_GB2312" w:cs="仿宋_GB2312"/>
                <w:kern w:val="0"/>
                <w:sz w:val="24"/>
                <w:szCs w:val="24"/>
              </w:rPr>
            </w:pPr>
          </w:p>
        </w:tc>
        <w:tc>
          <w:tcPr>
            <w:tcW w:w="772" w:type="pct"/>
            <w:vMerge w:val="continue"/>
            <w:tcBorders>
              <w:left w:val="single" w:color="000000" w:sz="4" w:space="0"/>
              <w:bottom w:val="single" w:color="000000" w:sz="4" w:space="0"/>
              <w:right w:val="single" w:color="000000" w:sz="4" w:space="0"/>
            </w:tcBorders>
            <w:vAlign w:val="center"/>
          </w:tcPr>
          <w:p w14:paraId="260A6392">
            <w:pPr>
              <w:spacing w:line="360" w:lineRule="auto"/>
              <w:jc w:val="center"/>
              <w:rPr>
                <w:rFonts w:ascii="仿宋_GB2312" w:hAnsi="仿宋_GB2312" w:eastAsia="仿宋_GB2312" w:cs="仿宋_GB2312"/>
                <w:kern w:val="0"/>
                <w:sz w:val="24"/>
                <w:szCs w:val="24"/>
              </w:rPr>
            </w:pPr>
          </w:p>
        </w:tc>
        <w:tc>
          <w:tcPr>
            <w:tcW w:w="1455" w:type="pct"/>
            <w:tcBorders>
              <w:top w:val="single" w:color="000000" w:sz="4" w:space="0"/>
              <w:left w:val="single" w:color="000000" w:sz="4" w:space="0"/>
              <w:bottom w:val="single" w:color="000000" w:sz="4" w:space="0"/>
              <w:right w:val="single" w:color="000000" w:sz="4" w:space="0"/>
            </w:tcBorders>
            <w:vAlign w:val="center"/>
          </w:tcPr>
          <w:p w14:paraId="779A8C56">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对网络管理制度与执行文件开展梳理</w:t>
            </w:r>
          </w:p>
        </w:tc>
        <w:tc>
          <w:tcPr>
            <w:tcW w:w="1479" w:type="pct"/>
            <w:tcBorders>
              <w:top w:val="single" w:color="000000" w:sz="4" w:space="0"/>
              <w:left w:val="single" w:color="000000" w:sz="4" w:space="0"/>
              <w:bottom w:val="single" w:color="000000" w:sz="4" w:space="0"/>
              <w:right w:val="single" w:color="000000" w:sz="4" w:space="0"/>
            </w:tcBorders>
            <w:vAlign w:val="center"/>
          </w:tcPr>
          <w:p w14:paraId="7F06B733">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评测信息系统的安全管理制度是否能保证信息安全的适宜性、充分性和有效性。并将已制订的各项制度与可操作的执行文件进行对应，以保障日常工作中制度的落实。补充梳理工作发现的相关缺失制度以及可操作的执行文件。</w:t>
            </w:r>
          </w:p>
        </w:tc>
        <w:tc>
          <w:tcPr>
            <w:tcW w:w="954" w:type="pct"/>
            <w:tcBorders>
              <w:top w:val="single" w:color="000000" w:sz="4" w:space="0"/>
              <w:left w:val="single" w:color="000000" w:sz="4" w:space="0"/>
              <w:bottom w:val="single" w:color="000000" w:sz="4" w:space="0"/>
              <w:right w:val="single" w:color="000000" w:sz="4" w:space="0"/>
            </w:tcBorders>
            <w:vAlign w:val="center"/>
          </w:tcPr>
          <w:p w14:paraId="3FAF1863">
            <w:pPr>
              <w:spacing w:line="360" w:lineRule="auto"/>
              <w:jc w:val="center"/>
              <w:rPr>
                <w:rFonts w:ascii="仿宋_GB2312" w:hAnsi="仿宋_GB2312" w:eastAsia="仿宋_GB2312" w:cs="仿宋_GB2312"/>
                <w:kern w:val="0"/>
                <w:sz w:val="24"/>
                <w:szCs w:val="24"/>
              </w:rPr>
            </w:pPr>
          </w:p>
        </w:tc>
      </w:tr>
      <w:tr w14:paraId="0A39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38" w:type="pct"/>
            <w:vMerge w:val="restart"/>
            <w:tcBorders>
              <w:top w:val="single" w:color="000000" w:sz="4" w:space="0"/>
              <w:left w:val="single" w:color="000000" w:sz="4" w:space="0"/>
              <w:bottom w:val="single" w:color="000000" w:sz="4" w:space="0"/>
              <w:right w:val="single" w:color="000000" w:sz="4" w:space="0"/>
            </w:tcBorders>
            <w:vAlign w:val="center"/>
          </w:tcPr>
          <w:p w14:paraId="3D54DC49">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772" w:type="pct"/>
            <w:vMerge w:val="restart"/>
            <w:tcBorders>
              <w:top w:val="single" w:color="000000" w:sz="4" w:space="0"/>
              <w:left w:val="single" w:color="000000" w:sz="4" w:space="0"/>
              <w:bottom w:val="single" w:color="000000" w:sz="4" w:space="0"/>
              <w:right w:val="single" w:color="000000" w:sz="4" w:space="0"/>
            </w:tcBorders>
            <w:vAlign w:val="center"/>
          </w:tcPr>
          <w:p w14:paraId="7B93A845">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系统等级保护测评</w:t>
            </w:r>
          </w:p>
        </w:tc>
        <w:tc>
          <w:tcPr>
            <w:tcW w:w="1455" w:type="pct"/>
            <w:tcBorders>
              <w:top w:val="single" w:color="000000" w:sz="4" w:space="0"/>
              <w:left w:val="single" w:color="000000" w:sz="4" w:space="0"/>
              <w:bottom w:val="single" w:color="000000" w:sz="4" w:space="0"/>
              <w:right w:val="single" w:color="000000" w:sz="4" w:space="0"/>
            </w:tcBorders>
            <w:vAlign w:val="center"/>
          </w:tcPr>
          <w:p w14:paraId="6AAB5168">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测评方案编制</w:t>
            </w:r>
          </w:p>
        </w:tc>
        <w:tc>
          <w:tcPr>
            <w:tcW w:w="1479" w:type="pct"/>
            <w:tcBorders>
              <w:top w:val="single" w:color="000000" w:sz="4" w:space="0"/>
              <w:left w:val="single" w:color="000000" w:sz="4" w:space="0"/>
              <w:bottom w:val="single" w:color="000000" w:sz="4" w:space="0"/>
              <w:right w:val="single" w:color="000000" w:sz="4" w:space="0"/>
            </w:tcBorders>
            <w:vAlign w:val="center"/>
          </w:tcPr>
          <w:p w14:paraId="495EE3D0">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确定评测流程、评测指标、评测方法、评测工具等内容</w:t>
            </w:r>
          </w:p>
        </w:tc>
        <w:tc>
          <w:tcPr>
            <w:tcW w:w="954" w:type="pct"/>
            <w:vMerge w:val="restart"/>
            <w:tcBorders>
              <w:top w:val="single" w:color="000000" w:sz="4" w:space="0"/>
              <w:left w:val="single" w:color="000000" w:sz="4" w:space="0"/>
              <w:bottom w:val="single" w:color="000000" w:sz="4" w:space="0"/>
              <w:right w:val="single" w:color="000000" w:sz="4" w:space="0"/>
            </w:tcBorders>
            <w:vAlign w:val="center"/>
          </w:tcPr>
          <w:p w14:paraId="58568504">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《信息系统等级保护测评报告》</w:t>
            </w:r>
          </w:p>
        </w:tc>
      </w:tr>
      <w:tr w14:paraId="1086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38" w:type="pct"/>
            <w:vMerge w:val="continue"/>
            <w:tcBorders>
              <w:top w:val="single" w:color="000000" w:sz="4" w:space="0"/>
              <w:left w:val="single" w:color="000000" w:sz="4" w:space="0"/>
              <w:bottom w:val="single" w:color="000000" w:sz="4" w:space="0"/>
              <w:right w:val="single" w:color="000000" w:sz="4" w:space="0"/>
            </w:tcBorders>
            <w:vAlign w:val="center"/>
          </w:tcPr>
          <w:p w14:paraId="690ED62B">
            <w:pPr>
              <w:spacing w:line="360" w:lineRule="auto"/>
              <w:jc w:val="center"/>
              <w:rPr>
                <w:rFonts w:ascii="仿宋_GB2312" w:hAnsi="仿宋_GB2312" w:eastAsia="仿宋_GB2312" w:cs="仿宋_GB2312"/>
                <w:kern w:val="0"/>
                <w:sz w:val="24"/>
                <w:szCs w:val="24"/>
              </w:rPr>
            </w:pPr>
          </w:p>
        </w:tc>
        <w:tc>
          <w:tcPr>
            <w:tcW w:w="772" w:type="pct"/>
            <w:vMerge w:val="continue"/>
            <w:tcBorders>
              <w:top w:val="single" w:color="000000" w:sz="4" w:space="0"/>
              <w:left w:val="single" w:color="000000" w:sz="4" w:space="0"/>
              <w:bottom w:val="single" w:color="000000" w:sz="4" w:space="0"/>
              <w:right w:val="single" w:color="000000" w:sz="4" w:space="0"/>
            </w:tcBorders>
            <w:vAlign w:val="center"/>
          </w:tcPr>
          <w:p w14:paraId="793B28ED">
            <w:pPr>
              <w:spacing w:line="360" w:lineRule="auto"/>
              <w:jc w:val="center"/>
              <w:rPr>
                <w:rFonts w:ascii="仿宋_GB2312" w:hAnsi="仿宋_GB2312" w:eastAsia="仿宋_GB2312" w:cs="仿宋_GB2312"/>
                <w:kern w:val="0"/>
                <w:sz w:val="24"/>
                <w:szCs w:val="24"/>
              </w:rPr>
            </w:pPr>
          </w:p>
        </w:tc>
        <w:tc>
          <w:tcPr>
            <w:tcW w:w="1455" w:type="pct"/>
            <w:tcBorders>
              <w:top w:val="single" w:color="000000" w:sz="4" w:space="0"/>
              <w:left w:val="single" w:color="000000" w:sz="4" w:space="0"/>
              <w:bottom w:val="single" w:color="000000" w:sz="4" w:space="0"/>
              <w:right w:val="single" w:color="000000" w:sz="4" w:space="0"/>
            </w:tcBorders>
            <w:vAlign w:val="center"/>
          </w:tcPr>
          <w:p w14:paraId="6D9E0F38">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安全技术测评</w:t>
            </w:r>
          </w:p>
        </w:tc>
        <w:tc>
          <w:tcPr>
            <w:tcW w:w="1479" w:type="pct"/>
            <w:tcBorders>
              <w:top w:val="single" w:color="000000" w:sz="4" w:space="0"/>
              <w:left w:val="single" w:color="000000" w:sz="4" w:space="0"/>
              <w:bottom w:val="single" w:color="000000" w:sz="4" w:space="0"/>
              <w:right w:val="single" w:color="000000" w:sz="4" w:space="0"/>
            </w:tcBorders>
            <w:vAlign w:val="center"/>
          </w:tcPr>
          <w:p w14:paraId="63BAD2C0">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物理和环境、网络和通信、设备和计算、应用和数据等安全</w:t>
            </w:r>
          </w:p>
        </w:tc>
        <w:tc>
          <w:tcPr>
            <w:tcW w:w="954" w:type="pct"/>
            <w:vMerge w:val="continue"/>
            <w:tcBorders>
              <w:top w:val="single" w:color="000000" w:sz="4" w:space="0"/>
              <w:left w:val="single" w:color="000000" w:sz="4" w:space="0"/>
              <w:bottom w:val="single" w:color="000000" w:sz="4" w:space="0"/>
              <w:right w:val="single" w:color="000000" w:sz="4" w:space="0"/>
            </w:tcBorders>
            <w:vAlign w:val="center"/>
          </w:tcPr>
          <w:p w14:paraId="1133EFE3">
            <w:pPr>
              <w:spacing w:line="360" w:lineRule="auto"/>
              <w:jc w:val="center"/>
              <w:rPr>
                <w:rFonts w:ascii="仿宋_GB2312" w:hAnsi="仿宋_GB2312" w:eastAsia="仿宋_GB2312" w:cs="仿宋_GB2312"/>
                <w:kern w:val="0"/>
                <w:sz w:val="24"/>
                <w:szCs w:val="24"/>
              </w:rPr>
            </w:pPr>
          </w:p>
        </w:tc>
      </w:tr>
      <w:tr w14:paraId="5233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38" w:type="pct"/>
            <w:vMerge w:val="continue"/>
            <w:tcBorders>
              <w:top w:val="single" w:color="000000" w:sz="4" w:space="0"/>
              <w:left w:val="single" w:color="000000" w:sz="4" w:space="0"/>
              <w:bottom w:val="single" w:color="000000" w:sz="4" w:space="0"/>
              <w:right w:val="single" w:color="000000" w:sz="4" w:space="0"/>
            </w:tcBorders>
            <w:vAlign w:val="center"/>
          </w:tcPr>
          <w:p w14:paraId="14CF2E40">
            <w:pPr>
              <w:spacing w:line="360" w:lineRule="auto"/>
              <w:jc w:val="center"/>
              <w:rPr>
                <w:rFonts w:ascii="仿宋_GB2312" w:hAnsi="仿宋_GB2312" w:eastAsia="仿宋_GB2312" w:cs="仿宋_GB2312"/>
                <w:kern w:val="0"/>
                <w:sz w:val="24"/>
                <w:szCs w:val="24"/>
              </w:rPr>
            </w:pPr>
          </w:p>
        </w:tc>
        <w:tc>
          <w:tcPr>
            <w:tcW w:w="772" w:type="pct"/>
            <w:vMerge w:val="continue"/>
            <w:tcBorders>
              <w:top w:val="single" w:color="000000" w:sz="4" w:space="0"/>
              <w:left w:val="single" w:color="000000" w:sz="4" w:space="0"/>
              <w:bottom w:val="single" w:color="000000" w:sz="4" w:space="0"/>
              <w:right w:val="single" w:color="000000" w:sz="4" w:space="0"/>
            </w:tcBorders>
            <w:vAlign w:val="center"/>
          </w:tcPr>
          <w:p w14:paraId="6B2E1494">
            <w:pPr>
              <w:spacing w:line="360" w:lineRule="auto"/>
              <w:jc w:val="center"/>
              <w:rPr>
                <w:rFonts w:ascii="仿宋_GB2312" w:hAnsi="仿宋_GB2312" w:eastAsia="仿宋_GB2312" w:cs="仿宋_GB2312"/>
                <w:kern w:val="0"/>
                <w:sz w:val="24"/>
                <w:szCs w:val="24"/>
              </w:rPr>
            </w:pPr>
          </w:p>
        </w:tc>
        <w:tc>
          <w:tcPr>
            <w:tcW w:w="1455" w:type="pct"/>
            <w:tcBorders>
              <w:top w:val="single" w:color="000000" w:sz="4" w:space="0"/>
              <w:left w:val="single" w:color="000000" w:sz="4" w:space="0"/>
              <w:bottom w:val="single" w:color="000000" w:sz="4" w:space="0"/>
              <w:right w:val="single" w:color="000000" w:sz="4" w:space="0"/>
            </w:tcBorders>
            <w:vAlign w:val="center"/>
          </w:tcPr>
          <w:p w14:paraId="61D86EF8">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安全管理测评</w:t>
            </w:r>
          </w:p>
        </w:tc>
        <w:tc>
          <w:tcPr>
            <w:tcW w:w="1479" w:type="pct"/>
            <w:tcBorders>
              <w:top w:val="single" w:color="000000" w:sz="4" w:space="0"/>
              <w:left w:val="single" w:color="000000" w:sz="4" w:space="0"/>
              <w:bottom w:val="single" w:color="000000" w:sz="4" w:space="0"/>
              <w:right w:val="single" w:color="000000" w:sz="4" w:space="0"/>
            </w:tcBorders>
            <w:vAlign w:val="center"/>
          </w:tcPr>
          <w:p w14:paraId="47260E03">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安全策略和管理制度、安全管理机构和人员、安全建设管理、安全运维管理</w:t>
            </w:r>
          </w:p>
        </w:tc>
        <w:tc>
          <w:tcPr>
            <w:tcW w:w="954" w:type="pct"/>
            <w:vMerge w:val="continue"/>
            <w:tcBorders>
              <w:top w:val="single" w:color="000000" w:sz="4" w:space="0"/>
              <w:left w:val="single" w:color="000000" w:sz="4" w:space="0"/>
              <w:bottom w:val="single" w:color="000000" w:sz="4" w:space="0"/>
              <w:right w:val="single" w:color="000000" w:sz="4" w:space="0"/>
            </w:tcBorders>
            <w:vAlign w:val="center"/>
          </w:tcPr>
          <w:p w14:paraId="19F474D7">
            <w:pPr>
              <w:spacing w:line="360" w:lineRule="auto"/>
              <w:jc w:val="center"/>
              <w:rPr>
                <w:rFonts w:ascii="仿宋_GB2312" w:hAnsi="仿宋_GB2312" w:eastAsia="仿宋_GB2312" w:cs="仿宋_GB2312"/>
                <w:kern w:val="0"/>
                <w:sz w:val="24"/>
                <w:szCs w:val="24"/>
              </w:rPr>
            </w:pPr>
          </w:p>
        </w:tc>
      </w:tr>
      <w:tr w14:paraId="0E29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38" w:type="pct"/>
            <w:vMerge w:val="continue"/>
            <w:tcBorders>
              <w:top w:val="single" w:color="000000" w:sz="4" w:space="0"/>
              <w:left w:val="single" w:color="000000" w:sz="4" w:space="0"/>
              <w:bottom w:val="single" w:color="000000" w:sz="4" w:space="0"/>
              <w:right w:val="single" w:color="000000" w:sz="4" w:space="0"/>
            </w:tcBorders>
            <w:vAlign w:val="center"/>
          </w:tcPr>
          <w:p w14:paraId="0D0ECB9D">
            <w:pPr>
              <w:spacing w:line="360" w:lineRule="auto"/>
              <w:jc w:val="center"/>
              <w:rPr>
                <w:rFonts w:ascii="仿宋_GB2312" w:hAnsi="仿宋_GB2312" w:eastAsia="仿宋_GB2312" w:cs="仿宋_GB2312"/>
                <w:kern w:val="0"/>
                <w:sz w:val="24"/>
                <w:szCs w:val="24"/>
              </w:rPr>
            </w:pPr>
          </w:p>
        </w:tc>
        <w:tc>
          <w:tcPr>
            <w:tcW w:w="772" w:type="pct"/>
            <w:vMerge w:val="continue"/>
            <w:tcBorders>
              <w:top w:val="single" w:color="000000" w:sz="4" w:space="0"/>
              <w:left w:val="single" w:color="000000" w:sz="4" w:space="0"/>
              <w:bottom w:val="single" w:color="000000" w:sz="4" w:space="0"/>
              <w:right w:val="single" w:color="000000" w:sz="4" w:space="0"/>
            </w:tcBorders>
            <w:vAlign w:val="center"/>
          </w:tcPr>
          <w:p w14:paraId="0BA5FAB7">
            <w:pPr>
              <w:spacing w:line="360" w:lineRule="auto"/>
              <w:jc w:val="center"/>
              <w:rPr>
                <w:rFonts w:ascii="仿宋_GB2312" w:hAnsi="仿宋_GB2312" w:eastAsia="仿宋_GB2312" w:cs="仿宋_GB2312"/>
                <w:kern w:val="0"/>
                <w:sz w:val="24"/>
                <w:szCs w:val="24"/>
              </w:rPr>
            </w:pPr>
          </w:p>
        </w:tc>
        <w:tc>
          <w:tcPr>
            <w:tcW w:w="1455" w:type="pct"/>
            <w:tcBorders>
              <w:top w:val="single" w:color="000000" w:sz="4" w:space="0"/>
              <w:left w:val="single" w:color="000000" w:sz="4" w:space="0"/>
              <w:bottom w:val="single" w:color="000000" w:sz="4" w:space="0"/>
              <w:right w:val="single" w:color="000000" w:sz="4" w:space="0"/>
            </w:tcBorders>
            <w:vAlign w:val="center"/>
          </w:tcPr>
          <w:p w14:paraId="798FE630">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整体测评与风险分析</w:t>
            </w:r>
          </w:p>
        </w:tc>
        <w:tc>
          <w:tcPr>
            <w:tcW w:w="1479" w:type="pct"/>
            <w:tcBorders>
              <w:top w:val="single" w:color="000000" w:sz="4" w:space="0"/>
              <w:left w:val="single" w:color="000000" w:sz="4" w:space="0"/>
              <w:bottom w:val="single" w:color="000000" w:sz="4" w:space="0"/>
              <w:right w:val="single" w:color="000000" w:sz="4" w:space="0"/>
            </w:tcBorders>
            <w:vAlign w:val="center"/>
          </w:tcPr>
          <w:p w14:paraId="207EC9FB">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对评测结论进行合理性与有效行分析,如：判定是否存在高风险</w:t>
            </w:r>
          </w:p>
        </w:tc>
        <w:tc>
          <w:tcPr>
            <w:tcW w:w="954" w:type="pct"/>
            <w:vMerge w:val="continue"/>
            <w:tcBorders>
              <w:top w:val="single" w:color="000000" w:sz="4" w:space="0"/>
              <w:left w:val="single" w:color="000000" w:sz="4" w:space="0"/>
              <w:bottom w:val="single" w:color="000000" w:sz="4" w:space="0"/>
              <w:right w:val="single" w:color="000000" w:sz="4" w:space="0"/>
            </w:tcBorders>
            <w:vAlign w:val="center"/>
          </w:tcPr>
          <w:p w14:paraId="3B17767B">
            <w:pPr>
              <w:spacing w:line="360" w:lineRule="auto"/>
              <w:jc w:val="center"/>
              <w:rPr>
                <w:rFonts w:ascii="仿宋_GB2312" w:hAnsi="仿宋_GB2312" w:eastAsia="仿宋_GB2312" w:cs="仿宋_GB2312"/>
                <w:kern w:val="0"/>
                <w:sz w:val="24"/>
                <w:szCs w:val="24"/>
              </w:rPr>
            </w:pPr>
          </w:p>
        </w:tc>
      </w:tr>
      <w:tr w14:paraId="389B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8" w:type="pct"/>
            <w:vMerge w:val="continue"/>
            <w:tcBorders>
              <w:top w:val="single" w:color="000000" w:sz="4" w:space="0"/>
              <w:left w:val="single" w:color="000000" w:sz="4" w:space="0"/>
              <w:bottom w:val="single" w:color="000000" w:sz="4" w:space="0"/>
              <w:right w:val="single" w:color="000000" w:sz="4" w:space="0"/>
            </w:tcBorders>
            <w:vAlign w:val="center"/>
          </w:tcPr>
          <w:p w14:paraId="57F4BFAD">
            <w:pPr>
              <w:spacing w:line="360" w:lineRule="auto"/>
              <w:jc w:val="center"/>
              <w:rPr>
                <w:rFonts w:ascii="仿宋_GB2312" w:hAnsi="仿宋_GB2312" w:eastAsia="仿宋_GB2312" w:cs="仿宋_GB2312"/>
                <w:kern w:val="0"/>
                <w:sz w:val="24"/>
                <w:szCs w:val="24"/>
              </w:rPr>
            </w:pPr>
          </w:p>
        </w:tc>
        <w:tc>
          <w:tcPr>
            <w:tcW w:w="772" w:type="pct"/>
            <w:vMerge w:val="continue"/>
            <w:tcBorders>
              <w:top w:val="single" w:color="000000" w:sz="4" w:space="0"/>
              <w:left w:val="single" w:color="000000" w:sz="4" w:space="0"/>
              <w:bottom w:val="single" w:color="000000" w:sz="4" w:space="0"/>
              <w:right w:val="single" w:color="000000" w:sz="4" w:space="0"/>
            </w:tcBorders>
            <w:vAlign w:val="center"/>
          </w:tcPr>
          <w:p w14:paraId="636A28B6">
            <w:pPr>
              <w:spacing w:line="360" w:lineRule="auto"/>
              <w:jc w:val="center"/>
              <w:rPr>
                <w:rFonts w:ascii="仿宋_GB2312" w:hAnsi="仿宋_GB2312" w:eastAsia="仿宋_GB2312" w:cs="仿宋_GB2312"/>
                <w:kern w:val="0"/>
                <w:sz w:val="24"/>
                <w:szCs w:val="24"/>
              </w:rPr>
            </w:pPr>
          </w:p>
        </w:tc>
        <w:tc>
          <w:tcPr>
            <w:tcW w:w="1455" w:type="pct"/>
            <w:tcBorders>
              <w:top w:val="single" w:color="000000" w:sz="4" w:space="0"/>
              <w:left w:val="single" w:color="000000" w:sz="4" w:space="0"/>
              <w:bottom w:val="single" w:color="000000" w:sz="4" w:space="0"/>
              <w:right w:val="single" w:color="000000" w:sz="4" w:space="0"/>
            </w:tcBorders>
            <w:vAlign w:val="center"/>
          </w:tcPr>
          <w:p w14:paraId="7AA8B84A">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整改后复测</w:t>
            </w:r>
          </w:p>
        </w:tc>
        <w:tc>
          <w:tcPr>
            <w:tcW w:w="1479" w:type="pct"/>
            <w:tcBorders>
              <w:top w:val="single" w:color="000000" w:sz="4" w:space="0"/>
              <w:left w:val="single" w:color="000000" w:sz="4" w:space="0"/>
              <w:bottom w:val="single" w:color="000000" w:sz="4" w:space="0"/>
              <w:right w:val="single" w:color="000000" w:sz="4" w:space="0"/>
            </w:tcBorders>
            <w:vAlign w:val="center"/>
          </w:tcPr>
          <w:p w14:paraId="35B2D77C">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根据差距分析及整改建议进行整改后测试</w:t>
            </w:r>
          </w:p>
        </w:tc>
        <w:tc>
          <w:tcPr>
            <w:tcW w:w="954" w:type="pct"/>
            <w:vMerge w:val="continue"/>
            <w:tcBorders>
              <w:top w:val="single" w:color="000000" w:sz="4" w:space="0"/>
              <w:left w:val="single" w:color="000000" w:sz="4" w:space="0"/>
              <w:bottom w:val="single" w:color="000000" w:sz="4" w:space="0"/>
              <w:right w:val="single" w:color="000000" w:sz="4" w:space="0"/>
            </w:tcBorders>
            <w:vAlign w:val="center"/>
          </w:tcPr>
          <w:p w14:paraId="29017967">
            <w:pPr>
              <w:spacing w:line="360" w:lineRule="auto"/>
              <w:jc w:val="center"/>
              <w:rPr>
                <w:rFonts w:ascii="仿宋_GB2312" w:hAnsi="仿宋_GB2312" w:eastAsia="仿宋_GB2312" w:cs="仿宋_GB2312"/>
                <w:kern w:val="0"/>
                <w:sz w:val="24"/>
                <w:szCs w:val="24"/>
              </w:rPr>
            </w:pPr>
          </w:p>
        </w:tc>
      </w:tr>
      <w:tr w14:paraId="5DFC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38" w:type="pct"/>
            <w:vMerge w:val="continue"/>
            <w:tcBorders>
              <w:top w:val="single" w:color="000000" w:sz="4" w:space="0"/>
              <w:left w:val="single" w:color="000000" w:sz="4" w:space="0"/>
              <w:bottom w:val="single" w:color="000000" w:sz="4" w:space="0"/>
              <w:right w:val="single" w:color="000000" w:sz="4" w:space="0"/>
            </w:tcBorders>
            <w:vAlign w:val="center"/>
          </w:tcPr>
          <w:p w14:paraId="35B06729">
            <w:pPr>
              <w:spacing w:line="360" w:lineRule="auto"/>
              <w:jc w:val="center"/>
              <w:rPr>
                <w:rFonts w:ascii="仿宋_GB2312" w:hAnsi="仿宋_GB2312" w:eastAsia="仿宋_GB2312" w:cs="仿宋_GB2312"/>
                <w:kern w:val="0"/>
                <w:sz w:val="24"/>
                <w:szCs w:val="24"/>
              </w:rPr>
            </w:pPr>
          </w:p>
        </w:tc>
        <w:tc>
          <w:tcPr>
            <w:tcW w:w="772" w:type="pct"/>
            <w:vMerge w:val="continue"/>
            <w:tcBorders>
              <w:top w:val="single" w:color="000000" w:sz="4" w:space="0"/>
              <w:left w:val="single" w:color="000000" w:sz="4" w:space="0"/>
              <w:bottom w:val="single" w:color="000000" w:sz="4" w:space="0"/>
              <w:right w:val="single" w:color="000000" w:sz="4" w:space="0"/>
            </w:tcBorders>
            <w:vAlign w:val="center"/>
          </w:tcPr>
          <w:p w14:paraId="4B72586D">
            <w:pPr>
              <w:spacing w:line="360" w:lineRule="auto"/>
              <w:jc w:val="center"/>
              <w:rPr>
                <w:rFonts w:ascii="仿宋_GB2312" w:hAnsi="仿宋_GB2312" w:eastAsia="仿宋_GB2312" w:cs="仿宋_GB2312"/>
                <w:kern w:val="0"/>
                <w:sz w:val="24"/>
                <w:szCs w:val="24"/>
              </w:rPr>
            </w:pPr>
          </w:p>
        </w:tc>
        <w:tc>
          <w:tcPr>
            <w:tcW w:w="1455" w:type="pct"/>
            <w:tcBorders>
              <w:top w:val="single" w:color="000000" w:sz="4" w:space="0"/>
              <w:left w:val="single" w:color="000000" w:sz="4" w:space="0"/>
              <w:bottom w:val="single" w:color="000000" w:sz="4" w:space="0"/>
              <w:right w:val="single" w:color="000000" w:sz="4" w:space="0"/>
            </w:tcBorders>
            <w:vAlign w:val="center"/>
          </w:tcPr>
          <w:p w14:paraId="7CB720D7">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测评报告编制</w:t>
            </w:r>
          </w:p>
          <w:p w14:paraId="1873D0BE">
            <w:pPr>
              <w:spacing w:line="360" w:lineRule="auto"/>
              <w:jc w:val="center"/>
              <w:rPr>
                <w:rFonts w:ascii="仿宋_GB2312" w:hAnsi="仿宋_GB2312" w:eastAsia="仿宋_GB2312" w:cs="仿宋_GB2312"/>
                <w:kern w:val="0"/>
                <w:sz w:val="24"/>
                <w:szCs w:val="24"/>
              </w:rPr>
            </w:pPr>
          </w:p>
        </w:tc>
        <w:tc>
          <w:tcPr>
            <w:tcW w:w="1479" w:type="pct"/>
            <w:tcBorders>
              <w:top w:val="single" w:color="000000" w:sz="4" w:space="0"/>
              <w:left w:val="single" w:color="000000" w:sz="4" w:space="0"/>
              <w:bottom w:val="single" w:color="000000" w:sz="4" w:space="0"/>
              <w:right w:val="single" w:color="000000" w:sz="4" w:space="0"/>
            </w:tcBorders>
            <w:vAlign w:val="center"/>
          </w:tcPr>
          <w:p w14:paraId="2E1BCD96">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对评测过程与结论进行汇总，编制各业务系统安全评测报告</w:t>
            </w:r>
          </w:p>
        </w:tc>
        <w:tc>
          <w:tcPr>
            <w:tcW w:w="954" w:type="pct"/>
            <w:vMerge w:val="continue"/>
            <w:tcBorders>
              <w:top w:val="single" w:color="000000" w:sz="4" w:space="0"/>
              <w:left w:val="single" w:color="000000" w:sz="4" w:space="0"/>
              <w:bottom w:val="single" w:color="000000" w:sz="4" w:space="0"/>
              <w:right w:val="single" w:color="000000" w:sz="4" w:space="0"/>
            </w:tcBorders>
            <w:vAlign w:val="center"/>
          </w:tcPr>
          <w:p w14:paraId="7BAAAEAF">
            <w:pPr>
              <w:spacing w:line="360" w:lineRule="auto"/>
              <w:jc w:val="center"/>
              <w:rPr>
                <w:rFonts w:ascii="仿宋_GB2312" w:hAnsi="仿宋_GB2312" w:eastAsia="仿宋_GB2312" w:cs="仿宋_GB2312"/>
                <w:kern w:val="0"/>
                <w:sz w:val="24"/>
                <w:szCs w:val="24"/>
              </w:rPr>
            </w:pPr>
          </w:p>
        </w:tc>
      </w:tr>
      <w:tr w14:paraId="5830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38" w:type="pct"/>
            <w:tcBorders>
              <w:top w:val="single" w:color="000000" w:sz="4" w:space="0"/>
              <w:left w:val="single" w:color="000000" w:sz="4" w:space="0"/>
              <w:bottom w:val="single" w:color="000000" w:sz="4" w:space="0"/>
              <w:right w:val="single" w:color="000000" w:sz="4" w:space="0"/>
            </w:tcBorders>
            <w:vAlign w:val="center"/>
          </w:tcPr>
          <w:p w14:paraId="35735868">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772" w:type="pct"/>
            <w:tcBorders>
              <w:top w:val="single" w:color="000000" w:sz="4" w:space="0"/>
              <w:left w:val="single" w:color="000000" w:sz="4" w:space="0"/>
              <w:bottom w:val="single" w:color="000000" w:sz="4" w:space="0"/>
              <w:right w:val="single" w:color="000000" w:sz="4" w:space="0"/>
            </w:tcBorders>
            <w:vAlign w:val="center"/>
          </w:tcPr>
          <w:p w14:paraId="25136334">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培训</w:t>
            </w:r>
          </w:p>
        </w:tc>
        <w:tc>
          <w:tcPr>
            <w:tcW w:w="1455" w:type="pct"/>
            <w:tcBorders>
              <w:top w:val="single" w:color="000000" w:sz="4" w:space="0"/>
              <w:left w:val="single" w:color="000000" w:sz="4" w:space="0"/>
              <w:bottom w:val="single" w:color="000000" w:sz="4" w:space="0"/>
              <w:right w:val="single" w:color="000000" w:sz="4" w:space="0"/>
            </w:tcBorders>
            <w:vAlign w:val="center"/>
          </w:tcPr>
          <w:p w14:paraId="73D17810">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网络安全培训</w:t>
            </w:r>
          </w:p>
        </w:tc>
        <w:tc>
          <w:tcPr>
            <w:tcW w:w="1479" w:type="pct"/>
            <w:tcBorders>
              <w:top w:val="single" w:color="000000" w:sz="4" w:space="0"/>
              <w:left w:val="single" w:color="000000" w:sz="4" w:space="0"/>
              <w:bottom w:val="single" w:color="000000" w:sz="4" w:space="0"/>
              <w:right w:val="single" w:color="000000" w:sz="4" w:space="0"/>
            </w:tcBorders>
            <w:vAlign w:val="center"/>
          </w:tcPr>
          <w:p w14:paraId="45F7E42A">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结合首博数字化转型的需求，以及投标人在博物馆行业网络安全的最佳实践，对相关部门人员进行多轮次培训</w:t>
            </w:r>
          </w:p>
        </w:tc>
        <w:tc>
          <w:tcPr>
            <w:tcW w:w="954" w:type="pct"/>
            <w:tcBorders>
              <w:top w:val="single" w:color="000000" w:sz="4" w:space="0"/>
              <w:left w:val="single" w:color="000000" w:sz="4" w:space="0"/>
              <w:bottom w:val="single" w:color="000000" w:sz="4" w:space="0"/>
              <w:right w:val="single" w:color="000000" w:sz="4" w:space="0"/>
            </w:tcBorders>
            <w:vAlign w:val="center"/>
          </w:tcPr>
          <w:p w14:paraId="51F8FDE4">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《培训教材》</w:t>
            </w:r>
          </w:p>
        </w:tc>
      </w:tr>
      <w:tr w14:paraId="39A6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38" w:type="pct"/>
            <w:vMerge w:val="restart"/>
            <w:tcBorders>
              <w:top w:val="single" w:color="000000" w:sz="4" w:space="0"/>
              <w:left w:val="single" w:color="000000" w:sz="4" w:space="0"/>
              <w:right w:val="single" w:color="000000" w:sz="4" w:space="0"/>
            </w:tcBorders>
            <w:vAlign w:val="center"/>
          </w:tcPr>
          <w:p w14:paraId="6A790F81">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772" w:type="pct"/>
            <w:vMerge w:val="restart"/>
            <w:tcBorders>
              <w:top w:val="single" w:color="000000" w:sz="4" w:space="0"/>
              <w:left w:val="single" w:color="000000" w:sz="4" w:space="0"/>
              <w:right w:val="single" w:color="000000" w:sz="4" w:space="0"/>
            </w:tcBorders>
            <w:vAlign w:val="center"/>
          </w:tcPr>
          <w:p w14:paraId="4154AE11">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迎检</w:t>
            </w:r>
          </w:p>
        </w:tc>
        <w:tc>
          <w:tcPr>
            <w:tcW w:w="1455" w:type="pct"/>
            <w:tcBorders>
              <w:top w:val="single" w:color="000000" w:sz="4" w:space="0"/>
              <w:left w:val="single" w:color="000000" w:sz="4" w:space="0"/>
              <w:bottom w:val="single" w:color="000000" w:sz="4" w:space="0"/>
              <w:right w:val="single" w:color="000000" w:sz="4" w:space="0"/>
            </w:tcBorders>
            <w:vAlign w:val="center"/>
          </w:tcPr>
          <w:p w14:paraId="68A692B9">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现场检查</w:t>
            </w:r>
          </w:p>
        </w:tc>
        <w:tc>
          <w:tcPr>
            <w:tcW w:w="1479" w:type="pct"/>
            <w:tcBorders>
              <w:top w:val="single" w:color="000000" w:sz="4" w:space="0"/>
              <w:left w:val="single" w:color="000000" w:sz="4" w:space="0"/>
              <w:bottom w:val="single" w:color="000000" w:sz="4" w:space="0"/>
              <w:right w:val="single" w:color="000000" w:sz="4" w:space="0"/>
            </w:tcBorders>
            <w:vAlign w:val="center"/>
          </w:tcPr>
          <w:p w14:paraId="5957A729">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对网安要求的年度现场检查进行资料准备和辅助。</w:t>
            </w:r>
          </w:p>
        </w:tc>
        <w:tc>
          <w:tcPr>
            <w:tcW w:w="954" w:type="pct"/>
            <w:tcBorders>
              <w:top w:val="single" w:color="000000" w:sz="4" w:space="0"/>
              <w:left w:val="single" w:color="000000" w:sz="4" w:space="0"/>
              <w:bottom w:val="single" w:color="000000" w:sz="4" w:space="0"/>
              <w:right w:val="single" w:color="000000" w:sz="4" w:space="0"/>
            </w:tcBorders>
            <w:vAlign w:val="center"/>
          </w:tcPr>
          <w:p w14:paraId="12B4B593">
            <w:pPr>
              <w:spacing w:line="360" w:lineRule="auto"/>
              <w:jc w:val="center"/>
              <w:rPr>
                <w:rFonts w:ascii="仿宋_GB2312" w:hAnsi="仿宋_GB2312" w:eastAsia="仿宋_GB2312" w:cs="仿宋_GB2312"/>
                <w:kern w:val="0"/>
                <w:sz w:val="24"/>
                <w:szCs w:val="24"/>
              </w:rPr>
            </w:pPr>
          </w:p>
        </w:tc>
      </w:tr>
      <w:tr w14:paraId="70CF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38" w:type="pct"/>
            <w:vMerge w:val="continue"/>
            <w:tcBorders>
              <w:left w:val="single" w:color="000000" w:sz="4" w:space="0"/>
              <w:bottom w:val="single" w:color="000000" w:sz="4" w:space="0"/>
              <w:right w:val="single" w:color="000000" w:sz="4" w:space="0"/>
            </w:tcBorders>
            <w:vAlign w:val="center"/>
          </w:tcPr>
          <w:p w14:paraId="45B6F835">
            <w:pPr>
              <w:spacing w:line="360" w:lineRule="auto"/>
              <w:jc w:val="center"/>
              <w:rPr>
                <w:rFonts w:ascii="仿宋_GB2312" w:hAnsi="仿宋_GB2312" w:eastAsia="仿宋_GB2312" w:cs="仿宋_GB2312"/>
                <w:kern w:val="0"/>
                <w:sz w:val="24"/>
                <w:szCs w:val="24"/>
              </w:rPr>
            </w:pPr>
          </w:p>
        </w:tc>
        <w:tc>
          <w:tcPr>
            <w:tcW w:w="772" w:type="pct"/>
            <w:vMerge w:val="continue"/>
            <w:tcBorders>
              <w:left w:val="single" w:color="000000" w:sz="4" w:space="0"/>
              <w:bottom w:val="single" w:color="000000" w:sz="4" w:space="0"/>
              <w:right w:val="single" w:color="000000" w:sz="4" w:space="0"/>
            </w:tcBorders>
            <w:vAlign w:val="center"/>
          </w:tcPr>
          <w:p w14:paraId="175CEC50">
            <w:pPr>
              <w:spacing w:line="360" w:lineRule="auto"/>
              <w:jc w:val="center"/>
              <w:rPr>
                <w:rFonts w:ascii="仿宋_GB2312" w:hAnsi="仿宋_GB2312" w:eastAsia="仿宋_GB2312" w:cs="仿宋_GB2312"/>
                <w:kern w:val="0"/>
                <w:sz w:val="24"/>
                <w:szCs w:val="24"/>
              </w:rPr>
            </w:pPr>
          </w:p>
        </w:tc>
        <w:tc>
          <w:tcPr>
            <w:tcW w:w="1455" w:type="pct"/>
            <w:tcBorders>
              <w:top w:val="single" w:color="000000" w:sz="4" w:space="0"/>
              <w:left w:val="single" w:color="000000" w:sz="4" w:space="0"/>
              <w:bottom w:val="single" w:color="000000" w:sz="4" w:space="0"/>
              <w:right w:val="single" w:color="000000" w:sz="4" w:space="0"/>
            </w:tcBorders>
            <w:vAlign w:val="center"/>
          </w:tcPr>
          <w:p w14:paraId="62E2717B">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网上检查</w:t>
            </w:r>
          </w:p>
        </w:tc>
        <w:tc>
          <w:tcPr>
            <w:tcW w:w="1479" w:type="pct"/>
            <w:tcBorders>
              <w:top w:val="single" w:color="000000" w:sz="4" w:space="0"/>
              <w:left w:val="single" w:color="000000" w:sz="4" w:space="0"/>
              <w:bottom w:val="single" w:color="000000" w:sz="4" w:space="0"/>
              <w:right w:val="single" w:color="000000" w:sz="4" w:space="0"/>
            </w:tcBorders>
            <w:vAlign w:val="center"/>
          </w:tcPr>
          <w:p w14:paraId="24287345">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对网安要求的年度主题信息检查报送进行资料准备和辅助。</w:t>
            </w:r>
          </w:p>
        </w:tc>
        <w:tc>
          <w:tcPr>
            <w:tcW w:w="954" w:type="pct"/>
            <w:tcBorders>
              <w:top w:val="single" w:color="000000" w:sz="4" w:space="0"/>
              <w:left w:val="single" w:color="000000" w:sz="4" w:space="0"/>
              <w:bottom w:val="single" w:color="000000" w:sz="4" w:space="0"/>
              <w:right w:val="single" w:color="000000" w:sz="4" w:space="0"/>
            </w:tcBorders>
            <w:vAlign w:val="center"/>
          </w:tcPr>
          <w:p w14:paraId="3EDAF402">
            <w:pPr>
              <w:spacing w:line="360" w:lineRule="auto"/>
              <w:jc w:val="center"/>
              <w:rPr>
                <w:rFonts w:ascii="仿宋_GB2312" w:hAnsi="仿宋_GB2312" w:eastAsia="仿宋_GB2312" w:cs="仿宋_GB2312"/>
                <w:kern w:val="0"/>
                <w:sz w:val="24"/>
                <w:szCs w:val="24"/>
              </w:rPr>
            </w:pPr>
          </w:p>
        </w:tc>
      </w:tr>
      <w:tr w14:paraId="7B25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38" w:type="pct"/>
            <w:vMerge w:val="restart"/>
            <w:tcBorders>
              <w:top w:val="single" w:color="000000" w:sz="4" w:space="0"/>
              <w:left w:val="single" w:color="000000" w:sz="4" w:space="0"/>
              <w:right w:val="single" w:color="000000" w:sz="4" w:space="0"/>
            </w:tcBorders>
            <w:vAlign w:val="center"/>
          </w:tcPr>
          <w:p w14:paraId="7091F7B7">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772" w:type="pct"/>
            <w:vMerge w:val="restart"/>
            <w:tcBorders>
              <w:top w:val="single" w:color="000000" w:sz="4" w:space="0"/>
              <w:left w:val="single" w:color="000000" w:sz="4" w:space="0"/>
              <w:right w:val="single" w:color="000000" w:sz="4" w:space="0"/>
            </w:tcBorders>
            <w:vAlign w:val="center"/>
          </w:tcPr>
          <w:p w14:paraId="2AD908AA">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安全评估及咨询</w:t>
            </w:r>
          </w:p>
        </w:tc>
        <w:tc>
          <w:tcPr>
            <w:tcW w:w="1455" w:type="pct"/>
            <w:tcBorders>
              <w:top w:val="single" w:color="000000" w:sz="4" w:space="0"/>
              <w:left w:val="single" w:color="000000" w:sz="4" w:space="0"/>
              <w:bottom w:val="single" w:color="000000" w:sz="4" w:space="0"/>
              <w:right w:val="single" w:color="000000" w:sz="4" w:space="0"/>
            </w:tcBorders>
            <w:vAlign w:val="center"/>
          </w:tcPr>
          <w:p w14:paraId="632E2BDC">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整体安全评估</w:t>
            </w:r>
          </w:p>
        </w:tc>
        <w:tc>
          <w:tcPr>
            <w:tcW w:w="1479" w:type="pct"/>
            <w:tcBorders>
              <w:top w:val="single" w:color="000000" w:sz="4" w:space="0"/>
              <w:left w:val="single" w:color="000000" w:sz="4" w:space="0"/>
              <w:bottom w:val="single" w:color="000000" w:sz="4" w:space="0"/>
              <w:right w:val="single" w:color="000000" w:sz="4" w:space="0"/>
            </w:tcBorders>
            <w:vAlign w:val="center"/>
          </w:tcPr>
          <w:p w14:paraId="7D558969">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对首都博物馆现有其它重要系统进行梳理，提交整体安全分析报告</w:t>
            </w:r>
          </w:p>
        </w:tc>
        <w:tc>
          <w:tcPr>
            <w:tcW w:w="954" w:type="pct"/>
            <w:vMerge w:val="restart"/>
            <w:tcBorders>
              <w:top w:val="single" w:color="000000" w:sz="4" w:space="0"/>
              <w:left w:val="single" w:color="000000" w:sz="4" w:space="0"/>
              <w:right w:val="single" w:color="000000" w:sz="4" w:space="0"/>
            </w:tcBorders>
            <w:vAlign w:val="center"/>
          </w:tcPr>
          <w:p w14:paraId="55856FF6">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《安全评估报告》</w:t>
            </w:r>
          </w:p>
        </w:tc>
      </w:tr>
      <w:tr w14:paraId="006F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38" w:type="pct"/>
            <w:vMerge w:val="continue"/>
            <w:tcBorders>
              <w:left w:val="single" w:color="000000" w:sz="4" w:space="0"/>
              <w:bottom w:val="single" w:color="000000" w:sz="4" w:space="0"/>
              <w:right w:val="single" w:color="000000" w:sz="4" w:space="0"/>
            </w:tcBorders>
            <w:vAlign w:val="center"/>
          </w:tcPr>
          <w:p w14:paraId="5ABFB9FD">
            <w:pPr>
              <w:spacing w:line="360" w:lineRule="auto"/>
              <w:jc w:val="center"/>
              <w:rPr>
                <w:rFonts w:ascii="仿宋_GB2312" w:hAnsi="仿宋_GB2312" w:eastAsia="仿宋_GB2312" w:cs="仿宋_GB2312"/>
                <w:kern w:val="0"/>
                <w:sz w:val="24"/>
                <w:szCs w:val="24"/>
              </w:rPr>
            </w:pPr>
          </w:p>
        </w:tc>
        <w:tc>
          <w:tcPr>
            <w:tcW w:w="772" w:type="pct"/>
            <w:vMerge w:val="continue"/>
            <w:tcBorders>
              <w:left w:val="single" w:color="000000" w:sz="4" w:space="0"/>
              <w:right w:val="single" w:color="000000" w:sz="4" w:space="0"/>
            </w:tcBorders>
            <w:vAlign w:val="center"/>
          </w:tcPr>
          <w:p w14:paraId="084F0557">
            <w:pPr>
              <w:spacing w:line="360" w:lineRule="auto"/>
              <w:jc w:val="center"/>
              <w:rPr>
                <w:rFonts w:ascii="仿宋_GB2312" w:hAnsi="仿宋_GB2312" w:eastAsia="仿宋_GB2312" w:cs="仿宋_GB2312"/>
                <w:kern w:val="0"/>
                <w:sz w:val="24"/>
                <w:szCs w:val="24"/>
              </w:rPr>
            </w:pPr>
          </w:p>
        </w:tc>
        <w:tc>
          <w:tcPr>
            <w:tcW w:w="1455" w:type="pct"/>
            <w:tcBorders>
              <w:top w:val="single" w:color="000000" w:sz="4" w:space="0"/>
              <w:left w:val="single" w:color="000000" w:sz="4" w:space="0"/>
              <w:bottom w:val="single" w:color="000000" w:sz="4" w:space="0"/>
              <w:right w:val="single" w:color="000000" w:sz="4" w:space="0"/>
            </w:tcBorders>
            <w:vAlign w:val="center"/>
          </w:tcPr>
          <w:p w14:paraId="5A8C99B2">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咨询</w:t>
            </w:r>
          </w:p>
        </w:tc>
        <w:tc>
          <w:tcPr>
            <w:tcW w:w="1479" w:type="pct"/>
            <w:tcBorders>
              <w:top w:val="single" w:color="000000" w:sz="4" w:space="0"/>
              <w:left w:val="single" w:color="000000" w:sz="4" w:space="0"/>
              <w:bottom w:val="single" w:color="000000" w:sz="4" w:space="0"/>
              <w:right w:val="single" w:color="000000" w:sz="4" w:space="0"/>
            </w:tcBorders>
            <w:vAlign w:val="center"/>
          </w:tcPr>
          <w:p w14:paraId="5EF11941">
            <w:pPr>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根据甲方需求对在建系统提供安全建设咨询服务</w:t>
            </w:r>
          </w:p>
        </w:tc>
        <w:tc>
          <w:tcPr>
            <w:tcW w:w="954" w:type="pct"/>
            <w:vMerge w:val="continue"/>
            <w:tcBorders>
              <w:left w:val="single" w:color="000000" w:sz="4" w:space="0"/>
              <w:right w:val="single" w:color="000000" w:sz="4" w:space="0"/>
            </w:tcBorders>
            <w:vAlign w:val="center"/>
          </w:tcPr>
          <w:p w14:paraId="6262B96A">
            <w:pPr>
              <w:spacing w:line="360" w:lineRule="auto"/>
              <w:jc w:val="center"/>
              <w:rPr>
                <w:rFonts w:ascii="仿宋_GB2312" w:hAnsi="仿宋_GB2312" w:eastAsia="仿宋_GB2312" w:cs="仿宋_GB2312"/>
                <w:kern w:val="0"/>
                <w:sz w:val="24"/>
                <w:szCs w:val="24"/>
              </w:rPr>
            </w:pPr>
          </w:p>
        </w:tc>
      </w:tr>
    </w:tbl>
    <w:p w14:paraId="62C12709">
      <w:pPr>
        <w:pStyle w:val="53"/>
        <w:spacing w:line="360" w:lineRule="auto"/>
        <w:rPr>
          <w:rFonts w:ascii="仿宋_GB2312" w:hAnsi="仿宋_GB2312" w:eastAsia="仿宋_GB2312" w:cs="仿宋_GB2312"/>
          <w:b/>
          <w:bCs/>
          <w:sz w:val="24"/>
        </w:rPr>
      </w:pPr>
    </w:p>
    <w:p w14:paraId="27036CF3">
      <w:pPr>
        <w:pStyle w:val="53"/>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四、实施依据</w:t>
      </w:r>
    </w:p>
    <w:p w14:paraId="49775BB3">
      <w:pPr>
        <w:pStyle w:val="53"/>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《信息安全技术 网络安全等级保护基本要求》(GB/T 22239-2019)；</w:t>
      </w:r>
    </w:p>
    <w:p w14:paraId="0305CF6D">
      <w:pPr>
        <w:pStyle w:val="53"/>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《信息安全技术 网络安全等级保护测评要求》(GB/T 28448-2019)；</w:t>
      </w:r>
    </w:p>
    <w:p w14:paraId="10F34392">
      <w:pPr>
        <w:pStyle w:val="53"/>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《信息安全技术 网络安全等级保护测评过程指南》(GB/T 28449-2018)；</w:t>
      </w:r>
    </w:p>
    <w:p w14:paraId="5F73E9A4">
      <w:pPr>
        <w:pStyle w:val="53"/>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《信息安全技术 网络安全等级保护定级指南》（GB/T 22240-2020）。</w:t>
      </w:r>
    </w:p>
    <w:p w14:paraId="7CD732DC">
      <w:pPr>
        <w:pStyle w:val="53"/>
        <w:spacing w:line="360" w:lineRule="auto"/>
        <w:ind w:firstLine="480"/>
      </w:pPr>
    </w:p>
    <w:p w14:paraId="66C70C8B">
      <w:pPr>
        <w:pStyle w:val="53"/>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五、供应商要求</w:t>
      </w:r>
    </w:p>
    <w:p w14:paraId="7D391C9D">
      <w:pPr>
        <w:spacing w:line="360" w:lineRule="auto"/>
        <w:ind w:firstLine="482" w:firstLineChars="200"/>
        <w:rPr>
          <w:rFonts w:ascii="仿宋_GB2312" w:hAnsi="仿宋_GB2312" w:eastAsia="仿宋_GB2312" w:cs="仿宋_GB2312"/>
          <w:b/>
          <w:kern w:val="0"/>
          <w:sz w:val="24"/>
          <w:szCs w:val="24"/>
        </w:rPr>
      </w:pPr>
      <w:r>
        <w:rPr>
          <w:rFonts w:hint="eastAsia" w:ascii="仿宋_GB2312" w:hAnsi="仿宋_GB2312" w:eastAsia="仿宋_GB2312" w:cs="仿宋_GB2312"/>
          <w:b/>
          <w:sz w:val="24"/>
          <w:szCs w:val="24"/>
        </w:rPr>
        <w:t>★</w:t>
      </w:r>
      <w:r>
        <w:rPr>
          <w:rFonts w:hint="eastAsia" w:ascii="仿宋_GB2312" w:hAnsi="仿宋_GB2312" w:eastAsia="仿宋_GB2312" w:cs="仿宋_GB2312"/>
          <w:b/>
          <w:kern w:val="0"/>
          <w:sz w:val="24"/>
          <w:szCs w:val="24"/>
        </w:rPr>
        <w:t>1、供应商需具备有效的公安部第三研究所颁发的《网络安全等级测评与检测评估机构服务认证证书》</w:t>
      </w:r>
    </w:p>
    <w:p w14:paraId="130BB75D">
      <w:pPr>
        <w:pStyle w:val="53"/>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审核依据：供应商在响应文件中提供上证书复印件并加盖供应商公章。</w:t>
      </w:r>
    </w:p>
    <w:p w14:paraId="438615DE">
      <w:pPr>
        <w:pStyle w:val="53"/>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供应商具备近三年（合同签订日期为2023年1月1日以后）的类似项目经验（网络安全等级保护测试），具备完成本项目服务的专业能力，如具备有效的中国网络安全审查技术与认证中心颁发的信息安全风险评估服务资质证书（CCRC），可在响应文件中提供以上有效的资质证</w:t>
      </w:r>
      <w:bookmarkStart w:id="10" w:name="_GoBack"/>
      <w:bookmarkEnd w:id="10"/>
      <w:r>
        <w:rPr>
          <w:rFonts w:hint="eastAsia" w:ascii="仿宋_GB2312" w:hAnsi="仿宋_GB2312" w:eastAsia="仿宋_GB2312" w:cs="仿宋_GB2312"/>
          <w:sz w:val="24"/>
          <w:szCs w:val="24"/>
        </w:rPr>
        <w:t>书复印并加盖供应商单位公章。</w:t>
      </w:r>
    </w:p>
    <w:p w14:paraId="0A01D080">
      <w:pPr>
        <w:pStyle w:val="53"/>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3、供应商针对本项目情况组建专门的服务团队，团队人员数量充足，人员相关项目经验丰富，专业能力强，所有团队人员均具有网络安全等级测评师初级及以上证书；服务团队配置合理。</w:t>
      </w:r>
    </w:p>
    <w:p w14:paraId="02A872BB">
      <w:pPr>
        <w:tabs>
          <w:tab w:val="left" w:pos="993"/>
          <w:tab w:val="left" w:pos="1701"/>
        </w:tabs>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针对以上人员证书响应要求，供应商可在响应文件中提供以下证明材料：须提供有效期内的证书复印件或证书查询网址网站截图并加盖供应商单位公章，未提供或无法认定证明的不予认可。除以上证明外，项目经理需提供近6个月任意一个月在供应商单位缴纳社保记录的复印件并加盖供应商单位公章。</w:t>
      </w:r>
    </w:p>
    <w:p w14:paraId="13461434">
      <w:pPr>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（3）团队人员在网络安全实战演习中作出突出贡献。可在响应文件中提供感谢信等证明材料。证明材料中需包含致谢单位的公章，否则不予认定。</w:t>
      </w:r>
    </w:p>
    <w:p w14:paraId="0281BF13">
      <w:pPr>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（4）为方便本项目评审工作，建议供应商将在本项目中可提供的证书通过列表的形式列明。该要求仅为建议，提供与否不影响供应商的响应。以下列表形式供参考：</w:t>
      </w:r>
    </w:p>
    <w:tbl>
      <w:tblPr>
        <w:tblStyle w:val="45"/>
        <w:tblW w:w="7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1855"/>
        <w:gridCol w:w="2165"/>
        <w:gridCol w:w="2719"/>
      </w:tblGrid>
      <w:tr w14:paraId="33DD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21" w:type="dxa"/>
            <w:vAlign w:val="center"/>
          </w:tcPr>
          <w:p w14:paraId="468BFE83">
            <w:pPr>
              <w:adjustRightInd w:val="0"/>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855" w:type="dxa"/>
            <w:vAlign w:val="center"/>
          </w:tcPr>
          <w:p w14:paraId="03AFD3CB">
            <w:pPr>
              <w:adjustRightInd w:val="0"/>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人员姓名</w:t>
            </w:r>
          </w:p>
        </w:tc>
        <w:tc>
          <w:tcPr>
            <w:tcW w:w="2165" w:type="dxa"/>
            <w:vAlign w:val="center"/>
          </w:tcPr>
          <w:p w14:paraId="0B5CC1F4">
            <w:pPr>
              <w:adjustRightInd w:val="0"/>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证书</w:t>
            </w:r>
          </w:p>
        </w:tc>
        <w:tc>
          <w:tcPr>
            <w:tcW w:w="2719" w:type="dxa"/>
            <w:vAlign w:val="center"/>
          </w:tcPr>
          <w:p w14:paraId="008971C1">
            <w:pPr>
              <w:adjustRightInd w:val="0"/>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响应文件对应页码</w:t>
            </w:r>
          </w:p>
        </w:tc>
      </w:tr>
      <w:tr w14:paraId="73D9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21" w:type="dxa"/>
            <w:vAlign w:val="center"/>
          </w:tcPr>
          <w:p w14:paraId="5AD6C728">
            <w:pPr>
              <w:adjustRightInd w:val="0"/>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55" w:type="dxa"/>
            <w:vAlign w:val="center"/>
          </w:tcPr>
          <w:p w14:paraId="7CA329B3">
            <w:pPr>
              <w:adjustRightInd w:val="0"/>
              <w:snapToGrid w:val="0"/>
              <w:spacing w:line="360" w:lineRule="auto"/>
              <w:jc w:val="center"/>
              <w:rPr>
                <w:rFonts w:ascii="仿宋_GB2312" w:hAnsi="仿宋_GB2312" w:eastAsia="仿宋_GB2312" w:cs="仿宋_GB2312"/>
                <w:sz w:val="24"/>
                <w:szCs w:val="24"/>
              </w:rPr>
            </w:pPr>
          </w:p>
        </w:tc>
        <w:tc>
          <w:tcPr>
            <w:tcW w:w="2165" w:type="dxa"/>
            <w:vAlign w:val="center"/>
          </w:tcPr>
          <w:p w14:paraId="1A83AA38">
            <w:pPr>
              <w:adjustRightInd w:val="0"/>
              <w:snapToGrid w:val="0"/>
              <w:spacing w:line="360" w:lineRule="auto"/>
              <w:jc w:val="center"/>
              <w:rPr>
                <w:rFonts w:ascii="仿宋_GB2312" w:hAnsi="仿宋_GB2312" w:eastAsia="仿宋_GB2312" w:cs="仿宋_GB2312"/>
                <w:sz w:val="24"/>
                <w:szCs w:val="24"/>
              </w:rPr>
            </w:pPr>
          </w:p>
        </w:tc>
        <w:tc>
          <w:tcPr>
            <w:tcW w:w="2719" w:type="dxa"/>
            <w:vAlign w:val="center"/>
          </w:tcPr>
          <w:p w14:paraId="4825F94A">
            <w:pPr>
              <w:adjustRightInd w:val="0"/>
              <w:snapToGrid w:val="0"/>
              <w:spacing w:line="360" w:lineRule="auto"/>
              <w:jc w:val="center"/>
              <w:rPr>
                <w:rFonts w:ascii="仿宋_GB2312" w:hAnsi="仿宋_GB2312" w:eastAsia="仿宋_GB2312" w:cs="仿宋_GB2312"/>
                <w:sz w:val="24"/>
                <w:szCs w:val="24"/>
              </w:rPr>
            </w:pPr>
          </w:p>
        </w:tc>
      </w:tr>
      <w:tr w14:paraId="5A37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21" w:type="dxa"/>
            <w:vAlign w:val="center"/>
          </w:tcPr>
          <w:p w14:paraId="769056D5">
            <w:pPr>
              <w:adjustRightInd w:val="0"/>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855" w:type="dxa"/>
            <w:vAlign w:val="center"/>
          </w:tcPr>
          <w:p w14:paraId="1A6021F1">
            <w:pPr>
              <w:adjustRightInd w:val="0"/>
              <w:snapToGrid w:val="0"/>
              <w:spacing w:line="360" w:lineRule="auto"/>
              <w:jc w:val="center"/>
              <w:rPr>
                <w:rFonts w:ascii="仿宋_GB2312" w:hAnsi="仿宋_GB2312" w:eastAsia="仿宋_GB2312" w:cs="仿宋_GB2312"/>
                <w:sz w:val="24"/>
                <w:szCs w:val="24"/>
              </w:rPr>
            </w:pPr>
          </w:p>
        </w:tc>
        <w:tc>
          <w:tcPr>
            <w:tcW w:w="2165" w:type="dxa"/>
            <w:vAlign w:val="center"/>
          </w:tcPr>
          <w:p w14:paraId="7502D810">
            <w:pPr>
              <w:adjustRightInd w:val="0"/>
              <w:snapToGrid w:val="0"/>
              <w:spacing w:line="360" w:lineRule="auto"/>
              <w:jc w:val="center"/>
              <w:rPr>
                <w:rFonts w:ascii="仿宋_GB2312" w:hAnsi="仿宋_GB2312" w:eastAsia="仿宋_GB2312" w:cs="仿宋_GB2312"/>
                <w:sz w:val="24"/>
                <w:szCs w:val="24"/>
              </w:rPr>
            </w:pPr>
          </w:p>
        </w:tc>
        <w:tc>
          <w:tcPr>
            <w:tcW w:w="2719" w:type="dxa"/>
            <w:vAlign w:val="center"/>
          </w:tcPr>
          <w:p w14:paraId="0927E2E4">
            <w:pPr>
              <w:adjustRightInd w:val="0"/>
              <w:snapToGrid w:val="0"/>
              <w:spacing w:line="360" w:lineRule="auto"/>
              <w:jc w:val="center"/>
              <w:rPr>
                <w:rFonts w:ascii="仿宋_GB2312" w:hAnsi="仿宋_GB2312" w:eastAsia="仿宋_GB2312" w:cs="仿宋_GB2312"/>
                <w:sz w:val="24"/>
                <w:szCs w:val="24"/>
              </w:rPr>
            </w:pPr>
          </w:p>
        </w:tc>
      </w:tr>
      <w:tr w14:paraId="3D73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21" w:type="dxa"/>
            <w:vAlign w:val="center"/>
          </w:tcPr>
          <w:p w14:paraId="2DE7B4E9">
            <w:pPr>
              <w:adjustRightInd w:val="0"/>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855" w:type="dxa"/>
            <w:vAlign w:val="center"/>
          </w:tcPr>
          <w:p w14:paraId="2D140EDC">
            <w:pPr>
              <w:adjustRightInd w:val="0"/>
              <w:snapToGrid w:val="0"/>
              <w:spacing w:line="360" w:lineRule="auto"/>
              <w:jc w:val="center"/>
              <w:rPr>
                <w:rFonts w:ascii="仿宋_GB2312" w:hAnsi="仿宋_GB2312" w:eastAsia="仿宋_GB2312" w:cs="仿宋_GB2312"/>
                <w:sz w:val="24"/>
                <w:szCs w:val="24"/>
              </w:rPr>
            </w:pPr>
          </w:p>
        </w:tc>
        <w:tc>
          <w:tcPr>
            <w:tcW w:w="2165" w:type="dxa"/>
            <w:vAlign w:val="center"/>
          </w:tcPr>
          <w:p w14:paraId="758ADAF2">
            <w:pPr>
              <w:adjustRightInd w:val="0"/>
              <w:snapToGrid w:val="0"/>
              <w:spacing w:line="360" w:lineRule="auto"/>
              <w:jc w:val="center"/>
              <w:rPr>
                <w:rFonts w:ascii="仿宋_GB2312" w:hAnsi="仿宋_GB2312" w:eastAsia="仿宋_GB2312" w:cs="仿宋_GB2312"/>
                <w:sz w:val="24"/>
                <w:szCs w:val="24"/>
              </w:rPr>
            </w:pPr>
          </w:p>
        </w:tc>
        <w:tc>
          <w:tcPr>
            <w:tcW w:w="2719" w:type="dxa"/>
            <w:vAlign w:val="center"/>
          </w:tcPr>
          <w:p w14:paraId="6AFE6BA0">
            <w:pPr>
              <w:adjustRightInd w:val="0"/>
              <w:snapToGrid w:val="0"/>
              <w:spacing w:line="360" w:lineRule="auto"/>
              <w:jc w:val="center"/>
              <w:rPr>
                <w:rFonts w:ascii="仿宋_GB2312" w:hAnsi="仿宋_GB2312" w:eastAsia="仿宋_GB2312" w:cs="仿宋_GB2312"/>
                <w:sz w:val="24"/>
                <w:szCs w:val="24"/>
              </w:rPr>
            </w:pPr>
          </w:p>
        </w:tc>
      </w:tr>
    </w:tbl>
    <w:p w14:paraId="1CB667AF">
      <w:pPr>
        <w:pStyle w:val="53"/>
        <w:spacing w:line="360" w:lineRule="auto"/>
        <w:ind w:firstLine="422" w:firstLineChars="175"/>
        <w:rPr>
          <w:rFonts w:ascii="仿宋_GB2312" w:hAnsi="仿宋_GB2312" w:eastAsia="仿宋_GB2312" w:cs="仿宋_GB2312"/>
          <w:b/>
          <w:sz w:val="24"/>
          <w:szCs w:val="24"/>
        </w:rPr>
      </w:pPr>
      <w:r>
        <w:rPr>
          <w:rFonts w:hint="eastAsia" w:ascii="仿宋_GB2312" w:hAnsi="仿宋_GB2312" w:eastAsia="仿宋_GB2312" w:cs="仿宋_GB2312"/>
          <w:b/>
          <w:sz w:val="24"/>
          <w:szCs w:val="24"/>
        </w:rPr>
        <w:t>★4、供应商应在响应文件本项目服务团队花名册（后称统称花名册），花名册</w:t>
      </w:r>
      <w:r>
        <w:rPr>
          <w:rFonts w:hint="eastAsia" w:ascii="仿宋_GB2312" w:hAnsi="仿宋_GB2312" w:eastAsia="仿宋_GB2312" w:cs="仿宋_GB2312"/>
          <w:b/>
          <w:kern w:val="2"/>
          <w:sz w:val="24"/>
          <w:szCs w:val="24"/>
        </w:rPr>
        <w:t>需包含人员姓名，电话，身份证号码。</w:t>
      </w:r>
      <w:r>
        <w:rPr>
          <w:rFonts w:hint="eastAsia" w:ascii="仿宋_GB2312" w:hAnsi="仿宋_GB2312" w:eastAsia="仿宋_GB2312" w:cs="仿宋_GB2312"/>
          <w:b/>
          <w:sz w:val="24"/>
          <w:szCs w:val="24"/>
        </w:rPr>
        <w:t>供应商应保证如获成交，后续为采购人提供服务的人员与采购文件中花名册提供的人员保持一致，若采购人发现实际工作人员与响应文件中的花名册的服务人员不一致，采购人有权要求更换，供应商承担因此产生的全部损失，且采购人有权无责终止合同。</w:t>
      </w:r>
    </w:p>
    <w:p w14:paraId="1CB46790">
      <w:pPr>
        <w:pStyle w:val="53"/>
        <w:widowControl w:val="0"/>
        <w:adjustRightInd w:val="0"/>
        <w:snapToGrid w:val="0"/>
        <w:spacing w:line="360" w:lineRule="auto"/>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审核依据：</w:t>
      </w:r>
    </w:p>
    <w:p w14:paraId="4FF5C1A0">
      <w:pPr>
        <w:pStyle w:val="53"/>
        <w:widowControl w:val="0"/>
        <w:adjustRightInd w:val="0"/>
        <w:snapToGrid w:val="0"/>
        <w:spacing w:line="360" w:lineRule="auto"/>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1）供应商在响应文件中提供本项目服务团队人员花名册，</w:t>
      </w:r>
      <w:r>
        <w:rPr>
          <w:rFonts w:hint="eastAsia" w:ascii="仿宋_GB2312" w:hAnsi="仿宋_GB2312" w:eastAsia="仿宋_GB2312" w:cs="仿宋_GB2312"/>
          <w:b/>
          <w:sz w:val="24"/>
          <w:szCs w:val="24"/>
        </w:rPr>
        <w:t>花名册</w:t>
      </w:r>
      <w:r>
        <w:rPr>
          <w:rFonts w:hint="eastAsia" w:ascii="仿宋_GB2312" w:hAnsi="仿宋_GB2312" w:eastAsia="仿宋_GB2312" w:cs="仿宋_GB2312"/>
          <w:b/>
          <w:kern w:val="2"/>
          <w:sz w:val="24"/>
          <w:szCs w:val="24"/>
        </w:rPr>
        <w:t>需包含人员姓名，电话，身份证号码。花名册</w:t>
      </w:r>
      <w:r>
        <w:rPr>
          <w:rFonts w:hint="eastAsia" w:ascii="仿宋_GB2312" w:hAnsi="仿宋_GB2312" w:eastAsia="仿宋_GB2312" w:cs="仿宋_GB2312"/>
          <w:b/>
          <w:sz w:val="24"/>
          <w:szCs w:val="24"/>
        </w:rPr>
        <w:t>格式按本采购文件“第六部分  附件－－响应文件的格式”中“附件10   人员花名册</w:t>
      </w:r>
      <w:r>
        <w:rPr>
          <w:rFonts w:hint="eastAsia" w:ascii="仿宋_GB2312" w:hAnsi="仿宋_GB2312" w:eastAsia="仿宋_GB2312" w:cs="仿宋_GB2312"/>
          <w:b/>
          <w:sz w:val="24"/>
        </w:rPr>
        <w:t>（格式）</w:t>
      </w:r>
      <w:r>
        <w:rPr>
          <w:rFonts w:hint="eastAsia" w:ascii="仿宋_GB2312" w:hAnsi="仿宋_GB2312" w:eastAsia="仿宋_GB2312" w:cs="仿宋_GB2312"/>
          <w:b/>
          <w:sz w:val="24"/>
          <w:szCs w:val="24"/>
        </w:rPr>
        <w:t>”提供。</w:t>
      </w:r>
    </w:p>
    <w:p w14:paraId="2211E773">
      <w:pPr>
        <w:pStyle w:val="53"/>
        <w:widowControl w:val="0"/>
        <w:adjustRightInd w:val="0"/>
        <w:snapToGrid w:val="0"/>
        <w:spacing w:line="360" w:lineRule="auto"/>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2）供应商需在响应文件中提供加盖供应商公章的承诺函，承诺函</w:t>
      </w:r>
      <w:r>
        <w:rPr>
          <w:rFonts w:hint="eastAsia" w:ascii="仿宋_GB2312" w:hAnsi="仿宋_GB2312" w:eastAsia="仿宋_GB2312" w:cs="仿宋_GB2312"/>
          <w:b/>
          <w:sz w:val="24"/>
          <w:szCs w:val="24"/>
        </w:rPr>
        <w:t>格式按本采购文件“第六部分  附件－－响应文件的格式”中“附件9   承诺函</w:t>
      </w:r>
      <w:r>
        <w:rPr>
          <w:rFonts w:hint="eastAsia" w:ascii="仿宋_GB2312" w:hAnsi="仿宋_GB2312" w:eastAsia="仿宋_GB2312" w:cs="仿宋_GB2312"/>
          <w:b/>
          <w:sz w:val="24"/>
        </w:rPr>
        <w:t>（格式）</w:t>
      </w:r>
      <w:r>
        <w:rPr>
          <w:rFonts w:hint="eastAsia" w:ascii="仿宋_GB2312" w:hAnsi="仿宋_GB2312" w:eastAsia="仿宋_GB2312" w:cs="仿宋_GB2312"/>
          <w:b/>
          <w:sz w:val="24"/>
          <w:szCs w:val="24"/>
        </w:rPr>
        <w:t>”提供。</w:t>
      </w:r>
    </w:p>
    <w:p w14:paraId="23E8F5D4">
      <w:pPr>
        <w:pStyle w:val="53"/>
        <w:spacing w:line="360" w:lineRule="auto"/>
        <w:rPr>
          <w:rFonts w:ascii="仿宋_GB2312" w:hAnsi="仿宋_GB2312" w:eastAsia="仿宋_GB2312" w:cs="仿宋_GB2312"/>
          <w:b/>
          <w:sz w:val="24"/>
          <w:szCs w:val="24"/>
        </w:rPr>
      </w:pPr>
      <w:r>
        <w:rPr>
          <w:rFonts w:hint="eastAsia" w:ascii="仿宋_GB2312" w:hAnsi="仿宋_GB2312" w:eastAsia="仿宋_GB2312" w:cs="仿宋_GB2312"/>
          <w:b/>
          <w:kern w:val="2"/>
          <w:sz w:val="24"/>
          <w:szCs w:val="24"/>
        </w:rPr>
        <w:t>以上两个审核依据缺一不可，否则供应商的响应将被视为</w:t>
      </w:r>
      <w:r>
        <w:rPr>
          <w:rFonts w:hint="eastAsia" w:ascii="仿宋_GB2312" w:hAnsi="仿宋_GB2312" w:eastAsia="仿宋_GB2312" w:cs="仿宋_GB2312"/>
          <w:b/>
          <w:kern w:val="2"/>
          <w:sz w:val="24"/>
          <w:szCs w:val="24"/>
          <w:u w:val="single"/>
        </w:rPr>
        <w:t>无效响应</w:t>
      </w:r>
      <w:r>
        <w:rPr>
          <w:rFonts w:hint="eastAsia" w:ascii="仿宋_GB2312" w:hAnsi="仿宋_GB2312" w:eastAsia="仿宋_GB2312" w:cs="仿宋_GB2312"/>
          <w:b/>
          <w:kern w:val="2"/>
          <w:sz w:val="24"/>
          <w:szCs w:val="24"/>
        </w:rPr>
        <w:t>。</w:t>
      </w:r>
    </w:p>
    <w:p w14:paraId="3B2B91B2">
      <w:pPr>
        <w:pStyle w:val="53"/>
        <w:spacing w:line="360" w:lineRule="auto"/>
        <w:ind w:firstLine="420" w:firstLineChars="175"/>
        <w:rPr>
          <w:rFonts w:ascii="仿宋_GB2312" w:hAnsi="仿宋_GB2312" w:eastAsia="仿宋_GB2312" w:cs="仿宋_GB2312"/>
          <w:sz w:val="24"/>
          <w:szCs w:val="24"/>
        </w:rPr>
      </w:pPr>
      <w:r>
        <w:rPr>
          <w:rFonts w:hint="eastAsia" w:ascii="仿宋_GB2312" w:hAnsi="仿宋_GB2312" w:eastAsia="仿宋_GB2312" w:cs="仿宋_GB2312"/>
          <w:sz w:val="24"/>
          <w:szCs w:val="24"/>
        </w:rPr>
        <w:t>5、供应商</w:t>
      </w:r>
      <w:r>
        <w:rPr>
          <w:rFonts w:hint="eastAsia" w:ascii="仿宋_GB2312" w:hAnsi="仿宋_GB2312" w:eastAsia="仿宋_GB2312" w:cs="仿宋_GB2312"/>
          <w:bCs/>
          <w:sz w:val="24"/>
          <w:szCs w:val="24"/>
        </w:rPr>
        <w:t>对项目需求认识全面，理解透彻，能合理评估项目服务工作量，对服务要求有深刻理解，对服务过程中的重点、关键点、难点分析详细透彻。</w:t>
      </w:r>
    </w:p>
    <w:p w14:paraId="11811EAD">
      <w:pPr>
        <w:pStyle w:val="53"/>
        <w:spacing w:line="360" w:lineRule="auto"/>
        <w:ind w:firstLine="420" w:firstLineChars="175"/>
        <w:rPr>
          <w:rFonts w:ascii="仿宋_GB2312" w:hAnsi="仿宋_GB2312" w:eastAsia="仿宋_GB2312" w:cs="仿宋_GB2312"/>
          <w:sz w:val="24"/>
          <w:szCs w:val="24"/>
        </w:rPr>
      </w:pPr>
      <w:r>
        <w:rPr>
          <w:rFonts w:hint="eastAsia" w:ascii="仿宋_GB2312" w:hAnsi="仿宋_GB2312" w:eastAsia="仿宋_GB2312" w:cs="仿宋_GB2312"/>
          <w:sz w:val="24"/>
          <w:szCs w:val="24"/>
        </w:rPr>
        <w:t>6、供应商需可针对服务过程中可能出现的紧急情况提供相应的应急保障工作方案，保证服务的有序展开。</w:t>
      </w:r>
    </w:p>
    <w:p w14:paraId="2182917D">
      <w:pPr>
        <w:pStyle w:val="53"/>
        <w:spacing w:line="360" w:lineRule="auto"/>
        <w:ind w:firstLine="420" w:firstLineChars="175"/>
        <w:rPr>
          <w:rFonts w:ascii="仿宋_GB2312" w:hAnsi="仿宋_GB2312" w:eastAsia="仿宋_GB2312" w:cs="仿宋_GB2312"/>
          <w:sz w:val="24"/>
          <w:szCs w:val="24"/>
        </w:rPr>
      </w:pPr>
      <w:r>
        <w:rPr>
          <w:rFonts w:hint="eastAsia" w:ascii="仿宋_GB2312" w:hAnsi="仿宋_GB2312" w:eastAsia="仿宋_GB2312" w:cs="仿宋_GB2312"/>
          <w:sz w:val="24"/>
          <w:szCs w:val="24"/>
        </w:rPr>
        <w:t>7、本项目供应商的服务响应应做到快速及时，满足采购人需求；可在响应文件中提供相关服务方案，服务质量保证体系措施得力，全面完善，针对性强，科学有效，客观合理，可实施性强。</w:t>
      </w:r>
    </w:p>
    <w:p w14:paraId="29143C8E">
      <w:pPr>
        <w:pStyle w:val="53"/>
        <w:spacing w:line="360" w:lineRule="auto"/>
        <w:ind w:firstLine="420" w:firstLineChars="175"/>
        <w:rPr>
          <w:rFonts w:ascii="仿宋_GB2312" w:hAnsi="仿宋_GB2312" w:eastAsia="仿宋_GB2312" w:cs="仿宋_GB2312"/>
          <w:sz w:val="24"/>
          <w:szCs w:val="24"/>
        </w:rPr>
      </w:pPr>
      <w:r>
        <w:rPr>
          <w:rFonts w:hint="eastAsia" w:ascii="仿宋_GB2312" w:hAnsi="仿宋_GB2312" w:eastAsia="仿宋_GB2312" w:cs="仿宋_GB2312"/>
          <w:sz w:val="24"/>
          <w:szCs w:val="24"/>
        </w:rPr>
        <w:t>8、本项目服务过程涉及的采购人非公开的数据内容，供应商必须严格保密，对于具体接触和执行本服务的工作人员，供应商应确保其严格履行保密责任。供应商可在响应文件中提供完善的保密措施方案。</w:t>
      </w:r>
    </w:p>
    <w:p w14:paraId="0863ECC1">
      <w:pPr>
        <w:pStyle w:val="53"/>
        <w:spacing w:line="360" w:lineRule="auto"/>
        <w:ind w:firstLine="480" w:firstLineChars="200"/>
        <w:rPr>
          <w:rFonts w:ascii="仿宋_GB2312" w:hAnsi="仿宋_GB2312" w:eastAsia="仿宋_GB2312" w:cs="仿宋_GB2312"/>
          <w:sz w:val="24"/>
          <w:szCs w:val="24"/>
        </w:rPr>
      </w:pPr>
    </w:p>
    <w:bookmarkEnd w:id="2"/>
    <w:bookmarkEnd w:id="3"/>
    <w:bookmarkEnd w:id="4"/>
    <w:bookmarkEnd w:id="5"/>
    <w:bookmarkEnd w:id="6"/>
    <w:bookmarkEnd w:id="7"/>
    <w:bookmarkEnd w:id="8"/>
    <w:bookmarkEnd w:id="9"/>
    <w:p w14:paraId="57EF1A67">
      <w:pPr>
        <w:rPr>
          <w:rFonts w:ascii="仿宋_GB2312" w:hAnsi="仿宋_GB2312" w:eastAsia="仿宋_GB2312" w:cs="仿宋_GB2312"/>
          <w:sz w:val="24"/>
          <w:highlight w:val="magenta"/>
        </w:rPr>
      </w:pPr>
    </w:p>
    <w:sectPr>
      <w:headerReference r:id="rId3" w:type="default"/>
      <w:footerReference r:id="rId4" w:type="default"/>
      <w:pgSz w:w="11906" w:h="16838"/>
      <w:pgMar w:top="1247" w:right="1587" w:bottom="1247" w:left="1587" w:header="850"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97ADF">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23B7C">
                          <w:pPr>
                            <w:pStyle w:val="2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FC23B7C">
                    <w:pPr>
                      <w:pStyle w:val="2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14:paraId="7B6B8B9C">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354D6">
    <w:pPr>
      <w:pStyle w:val="27"/>
      <w:pBdr>
        <w:bottom w:val="none" w:color="auto" w:sz="0" w:space="0"/>
      </w:pBdr>
      <w:jc w:val="both"/>
      <w:rPr>
        <w:u w:val="single"/>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145"/>
      <w:lvlText w:val="(%1)"/>
      <w:lvlJc w:val="left"/>
      <w:pPr>
        <w:tabs>
          <w:tab w:val="left" w:pos="502"/>
        </w:tabs>
        <w:ind w:left="502" w:hanging="360"/>
      </w:pPr>
      <w:rPr>
        <w:rFonts w:hint="default"/>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1">
    <w:nsid w:val="03B44903"/>
    <w:multiLevelType w:val="singleLevel"/>
    <w:tmpl w:val="03B44903"/>
    <w:lvl w:ilvl="0" w:tentative="0">
      <w:start w:val="1"/>
      <w:numFmt w:val="decimal"/>
      <w:pStyle w:val="123"/>
      <w:lvlText w:val="%1."/>
      <w:lvlJc w:val="left"/>
      <w:pPr>
        <w:tabs>
          <w:tab w:val="left" w:pos="425"/>
        </w:tabs>
        <w:ind w:left="425" w:hanging="425"/>
      </w:pPr>
    </w:lvl>
  </w:abstractNum>
  <w:abstractNum w:abstractNumId="2">
    <w:nsid w:val="18EF4730"/>
    <w:multiLevelType w:val="multilevel"/>
    <w:tmpl w:val="18EF4730"/>
    <w:lvl w:ilvl="0" w:tentative="0">
      <w:start w:val="2004"/>
      <w:numFmt w:val="bullet"/>
      <w:pStyle w:val="65"/>
      <w:lvlText w:val=""/>
      <w:lvlJc w:val="left"/>
      <w:pPr>
        <w:tabs>
          <w:tab w:val="left" w:pos="880"/>
        </w:tabs>
        <w:ind w:left="880" w:hanging="360"/>
      </w:pPr>
      <w:rPr>
        <w:rFonts w:hint="default" w:ascii="Wingdings" w:hAnsi="Wingdings"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657086D"/>
    <w:multiLevelType w:val="multilevel"/>
    <w:tmpl w:val="2657086D"/>
    <w:lvl w:ilvl="0" w:tentative="0">
      <w:start w:val="1"/>
      <w:numFmt w:val="chineseCountingThousand"/>
      <w:pStyle w:val="41"/>
      <w:lvlText w:val="%1."/>
      <w:lvlJc w:val="left"/>
      <w:pPr>
        <w:tabs>
          <w:tab w:val="left" w:pos="360"/>
        </w:tabs>
        <w:ind w:left="0" w:firstLine="0"/>
      </w:pPr>
      <w:rPr>
        <w:rFonts w:hint="eastAsia"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3"/>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95"/>
        </w:tabs>
        <w:ind w:left="1695" w:hanging="435"/>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0A3AA12"/>
    <w:multiLevelType w:val="singleLevel"/>
    <w:tmpl w:val="40A3AA12"/>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4MDM3OTBlMDM3OWJhMjUxZDUyNWI3ODJiMjMzZmYifQ=="/>
  </w:docVars>
  <w:rsids>
    <w:rsidRoot w:val="00172A27"/>
    <w:rsid w:val="00060DFE"/>
    <w:rsid w:val="000639C4"/>
    <w:rsid w:val="000A11D9"/>
    <w:rsid w:val="000A25D8"/>
    <w:rsid w:val="000B54A5"/>
    <w:rsid w:val="000C0E11"/>
    <w:rsid w:val="000D1A0E"/>
    <w:rsid w:val="000E0336"/>
    <w:rsid w:val="0010154D"/>
    <w:rsid w:val="001062B2"/>
    <w:rsid w:val="00161901"/>
    <w:rsid w:val="0017083B"/>
    <w:rsid w:val="00172A27"/>
    <w:rsid w:val="001854C8"/>
    <w:rsid w:val="00196B1D"/>
    <w:rsid w:val="001A4EA7"/>
    <w:rsid w:val="001D0543"/>
    <w:rsid w:val="001D1B1F"/>
    <w:rsid w:val="001F19F4"/>
    <w:rsid w:val="001F381C"/>
    <w:rsid w:val="001F64F9"/>
    <w:rsid w:val="00200AE4"/>
    <w:rsid w:val="0020384E"/>
    <w:rsid w:val="00205860"/>
    <w:rsid w:val="00205FB6"/>
    <w:rsid w:val="00214FE2"/>
    <w:rsid w:val="00217FB1"/>
    <w:rsid w:val="00220EE2"/>
    <w:rsid w:val="00222C38"/>
    <w:rsid w:val="00232D27"/>
    <w:rsid w:val="002330CF"/>
    <w:rsid w:val="002379D6"/>
    <w:rsid w:val="00251770"/>
    <w:rsid w:val="00257AF8"/>
    <w:rsid w:val="0026559D"/>
    <w:rsid w:val="0026752E"/>
    <w:rsid w:val="00270393"/>
    <w:rsid w:val="00281F0D"/>
    <w:rsid w:val="00295176"/>
    <w:rsid w:val="002A60AC"/>
    <w:rsid w:val="002B4838"/>
    <w:rsid w:val="002C752B"/>
    <w:rsid w:val="002C7B24"/>
    <w:rsid w:val="002D1772"/>
    <w:rsid w:val="002E22CF"/>
    <w:rsid w:val="00320670"/>
    <w:rsid w:val="0033008E"/>
    <w:rsid w:val="003342DE"/>
    <w:rsid w:val="0034566F"/>
    <w:rsid w:val="00350795"/>
    <w:rsid w:val="00360FB3"/>
    <w:rsid w:val="003C028D"/>
    <w:rsid w:val="003C351D"/>
    <w:rsid w:val="003C680C"/>
    <w:rsid w:val="003D32AD"/>
    <w:rsid w:val="003E046D"/>
    <w:rsid w:val="0042413B"/>
    <w:rsid w:val="004252E6"/>
    <w:rsid w:val="0043076B"/>
    <w:rsid w:val="00437B3B"/>
    <w:rsid w:val="00447A41"/>
    <w:rsid w:val="00454346"/>
    <w:rsid w:val="00477502"/>
    <w:rsid w:val="004815B4"/>
    <w:rsid w:val="00486132"/>
    <w:rsid w:val="00492B8D"/>
    <w:rsid w:val="00494684"/>
    <w:rsid w:val="004A1803"/>
    <w:rsid w:val="004B0B1C"/>
    <w:rsid w:val="004B4EBD"/>
    <w:rsid w:val="004D0926"/>
    <w:rsid w:val="004E039A"/>
    <w:rsid w:val="004E59F5"/>
    <w:rsid w:val="00507308"/>
    <w:rsid w:val="005074D9"/>
    <w:rsid w:val="00514CD6"/>
    <w:rsid w:val="00520C2E"/>
    <w:rsid w:val="00536F33"/>
    <w:rsid w:val="00570B99"/>
    <w:rsid w:val="00584238"/>
    <w:rsid w:val="00584653"/>
    <w:rsid w:val="00590A2E"/>
    <w:rsid w:val="00595BE8"/>
    <w:rsid w:val="005A11C4"/>
    <w:rsid w:val="005A334F"/>
    <w:rsid w:val="005D0DA9"/>
    <w:rsid w:val="005D32E9"/>
    <w:rsid w:val="00610B58"/>
    <w:rsid w:val="00616576"/>
    <w:rsid w:val="00617F40"/>
    <w:rsid w:val="00617F8C"/>
    <w:rsid w:val="00626005"/>
    <w:rsid w:val="00630126"/>
    <w:rsid w:val="006412B6"/>
    <w:rsid w:val="006425A4"/>
    <w:rsid w:val="0064455E"/>
    <w:rsid w:val="00655160"/>
    <w:rsid w:val="006831F6"/>
    <w:rsid w:val="006A0182"/>
    <w:rsid w:val="006C0FB7"/>
    <w:rsid w:val="006E0168"/>
    <w:rsid w:val="007029AC"/>
    <w:rsid w:val="00706EEE"/>
    <w:rsid w:val="0070708C"/>
    <w:rsid w:val="0072456E"/>
    <w:rsid w:val="007312D3"/>
    <w:rsid w:val="007312DF"/>
    <w:rsid w:val="00731D7D"/>
    <w:rsid w:val="00742E23"/>
    <w:rsid w:val="007457A9"/>
    <w:rsid w:val="007470F1"/>
    <w:rsid w:val="00751EC0"/>
    <w:rsid w:val="007C5BBA"/>
    <w:rsid w:val="007D5A12"/>
    <w:rsid w:val="007D7787"/>
    <w:rsid w:val="007E4A25"/>
    <w:rsid w:val="007F7C62"/>
    <w:rsid w:val="00803623"/>
    <w:rsid w:val="00820675"/>
    <w:rsid w:val="00824A41"/>
    <w:rsid w:val="0083036A"/>
    <w:rsid w:val="008450C1"/>
    <w:rsid w:val="008607E1"/>
    <w:rsid w:val="00864DFB"/>
    <w:rsid w:val="00896235"/>
    <w:rsid w:val="008C17B2"/>
    <w:rsid w:val="008E3E3F"/>
    <w:rsid w:val="008F3D6F"/>
    <w:rsid w:val="0092414F"/>
    <w:rsid w:val="009310FD"/>
    <w:rsid w:val="0093147B"/>
    <w:rsid w:val="00940C35"/>
    <w:rsid w:val="00944C1A"/>
    <w:rsid w:val="00946CD1"/>
    <w:rsid w:val="009479D9"/>
    <w:rsid w:val="00965563"/>
    <w:rsid w:val="009737E2"/>
    <w:rsid w:val="0098167E"/>
    <w:rsid w:val="009875CA"/>
    <w:rsid w:val="00987F6A"/>
    <w:rsid w:val="00995122"/>
    <w:rsid w:val="009C143E"/>
    <w:rsid w:val="009D6DEF"/>
    <w:rsid w:val="009E5EFB"/>
    <w:rsid w:val="009F2510"/>
    <w:rsid w:val="009F2A4D"/>
    <w:rsid w:val="00A23F6B"/>
    <w:rsid w:val="00A56637"/>
    <w:rsid w:val="00A574BB"/>
    <w:rsid w:val="00A76984"/>
    <w:rsid w:val="00AA05E1"/>
    <w:rsid w:val="00AA23EE"/>
    <w:rsid w:val="00AB2A71"/>
    <w:rsid w:val="00AC7241"/>
    <w:rsid w:val="00AD26C8"/>
    <w:rsid w:val="00AD49DA"/>
    <w:rsid w:val="00AF24DD"/>
    <w:rsid w:val="00B012F3"/>
    <w:rsid w:val="00B03BE7"/>
    <w:rsid w:val="00B0624A"/>
    <w:rsid w:val="00B0702B"/>
    <w:rsid w:val="00B12C66"/>
    <w:rsid w:val="00B243E2"/>
    <w:rsid w:val="00B26BB1"/>
    <w:rsid w:val="00B320B7"/>
    <w:rsid w:val="00B377ED"/>
    <w:rsid w:val="00B42EF4"/>
    <w:rsid w:val="00B46F4F"/>
    <w:rsid w:val="00B657A4"/>
    <w:rsid w:val="00B91E99"/>
    <w:rsid w:val="00BA0D32"/>
    <w:rsid w:val="00BB12C2"/>
    <w:rsid w:val="00BB60A2"/>
    <w:rsid w:val="00BC5E6F"/>
    <w:rsid w:val="00BC6C09"/>
    <w:rsid w:val="00BD3578"/>
    <w:rsid w:val="00BF0F31"/>
    <w:rsid w:val="00C055CC"/>
    <w:rsid w:val="00C0700B"/>
    <w:rsid w:val="00C12860"/>
    <w:rsid w:val="00C270B2"/>
    <w:rsid w:val="00C4052F"/>
    <w:rsid w:val="00C40651"/>
    <w:rsid w:val="00C91E65"/>
    <w:rsid w:val="00CA0FD6"/>
    <w:rsid w:val="00CA4258"/>
    <w:rsid w:val="00CC6DFF"/>
    <w:rsid w:val="00CE3887"/>
    <w:rsid w:val="00CF083E"/>
    <w:rsid w:val="00D02368"/>
    <w:rsid w:val="00D12553"/>
    <w:rsid w:val="00D1270B"/>
    <w:rsid w:val="00D12D9E"/>
    <w:rsid w:val="00D40ECC"/>
    <w:rsid w:val="00D438F2"/>
    <w:rsid w:val="00D5292D"/>
    <w:rsid w:val="00D56652"/>
    <w:rsid w:val="00D724A9"/>
    <w:rsid w:val="00D914DF"/>
    <w:rsid w:val="00DA06DC"/>
    <w:rsid w:val="00DA343E"/>
    <w:rsid w:val="00DB775C"/>
    <w:rsid w:val="00DD1AE8"/>
    <w:rsid w:val="00DD3FA8"/>
    <w:rsid w:val="00DE5886"/>
    <w:rsid w:val="00DF01F6"/>
    <w:rsid w:val="00DF669F"/>
    <w:rsid w:val="00DF79E5"/>
    <w:rsid w:val="00E041FD"/>
    <w:rsid w:val="00E21DFE"/>
    <w:rsid w:val="00E27D1E"/>
    <w:rsid w:val="00E32A01"/>
    <w:rsid w:val="00E350CE"/>
    <w:rsid w:val="00E41B6E"/>
    <w:rsid w:val="00E61BE3"/>
    <w:rsid w:val="00E73B88"/>
    <w:rsid w:val="00E74F0C"/>
    <w:rsid w:val="00E910A3"/>
    <w:rsid w:val="00E92236"/>
    <w:rsid w:val="00EA5C9A"/>
    <w:rsid w:val="00EA760C"/>
    <w:rsid w:val="00EB1017"/>
    <w:rsid w:val="00EB6DD8"/>
    <w:rsid w:val="00EB70FC"/>
    <w:rsid w:val="00EC143A"/>
    <w:rsid w:val="00EC2ECA"/>
    <w:rsid w:val="00ED361D"/>
    <w:rsid w:val="00ED36FE"/>
    <w:rsid w:val="00EE5762"/>
    <w:rsid w:val="00EF70E9"/>
    <w:rsid w:val="00EF724F"/>
    <w:rsid w:val="00F048C9"/>
    <w:rsid w:val="00F20BBD"/>
    <w:rsid w:val="00F25D29"/>
    <w:rsid w:val="00F27967"/>
    <w:rsid w:val="00F40156"/>
    <w:rsid w:val="00F54EC6"/>
    <w:rsid w:val="00F747AB"/>
    <w:rsid w:val="00F747D1"/>
    <w:rsid w:val="00F83557"/>
    <w:rsid w:val="00F84A13"/>
    <w:rsid w:val="00FA7192"/>
    <w:rsid w:val="00FA73CF"/>
    <w:rsid w:val="00FD3F85"/>
    <w:rsid w:val="00FF0881"/>
    <w:rsid w:val="0133519F"/>
    <w:rsid w:val="01E96C2E"/>
    <w:rsid w:val="0252697B"/>
    <w:rsid w:val="02C43119"/>
    <w:rsid w:val="02EB37ED"/>
    <w:rsid w:val="032E5B18"/>
    <w:rsid w:val="03744B40"/>
    <w:rsid w:val="038469CC"/>
    <w:rsid w:val="04246559"/>
    <w:rsid w:val="04492F15"/>
    <w:rsid w:val="04E01320"/>
    <w:rsid w:val="051852FC"/>
    <w:rsid w:val="055B7792"/>
    <w:rsid w:val="05B55818"/>
    <w:rsid w:val="0649045C"/>
    <w:rsid w:val="06864766"/>
    <w:rsid w:val="06A168EC"/>
    <w:rsid w:val="06FA3A19"/>
    <w:rsid w:val="07102A3C"/>
    <w:rsid w:val="07C74E19"/>
    <w:rsid w:val="07EE658E"/>
    <w:rsid w:val="07F3748A"/>
    <w:rsid w:val="091266F1"/>
    <w:rsid w:val="09B74E58"/>
    <w:rsid w:val="09FC086D"/>
    <w:rsid w:val="0AD95317"/>
    <w:rsid w:val="0B03361E"/>
    <w:rsid w:val="0B09187C"/>
    <w:rsid w:val="0B0A0CAF"/>
    <w:rsid w:val="0B517029"/>
    <w:rsid w:val="0B887700"/>
    <w:rsid w:val="0B991F50"/>
    <w:rsid w:val="0BC56CE3"/>
    <w:rsid w:val="0C1B40EA"/>
    <w:rsid w:val="0C5F2699"/>
    <w:rsid w:val="0CDF6EEF"/>
    <w:rsid w:val="0D555318"/>
    <w:rsid w:val="0D976274"/>
    <w:rsid w:val="0D9F26FE"/>
    <w:rsid w:val="0E1023A7"/>
    <w:rsid w:val="0E4C5684"/>
    <w:rsid w:val="0E6C6D83"/>
    <w:rsid w:val="0E922575"/>
    <w:rsid w:val="0EA53683"/>
    <w:rsid w:val="0EA76C97"/>
    <w:rsid w:val="0F02625A"/>
    <w:rsid w:val="0F1D3579"/>
    <w:rsid w:val="0F1D5AC9"/>
    <w:rsid w:val="0F216FC8"/>
    <w:rsid w:val="0F6925D8"/>
    <w:rsid w:val="102C0118"/>
    <w:rsid w:val="10BF3B64"/>
    <w:rsid w:val="10EF7E56"/>
    <w:rsid w:val="11146D91"/>
    <w:rsid w:val="1180092C"/>
    <w:rsid w:val="11AC3A8C"/>
    <w:rsid w:val="11CF5473"/>
    <w:rsid w:val="11E406EB"/>
    <w:rsid w:val="120F4E5E"/>
    <w:rsid w:val="1295376D"/>
    <w:rsid w:val="12FD7F36"/>
    <w:rsid w:val="13A011AE"/>
    <w:rsid w:val="13A07E66"/>
    <w:rsid w:val="13E55FA7"/>
    <w:rsid w:val="143409EE"/>
    <w:rsid w:val="14464901"/>
    <w:rsid w:val="149154CD"/>
    <w:rsid w:val="14A02B65"/>
    <w:rsid w:val="15380367"/>
    <w:rsid w:val="15507D3C"/>
    <w:rsid w:val="15536E33"/>
    <w:rsid w:val="156766B2"/>
    <w:rsid w:val="164A731D"/>
    <w:rsid w:val="16633BBC"/>
    <w:rsid w:val="168B428F"/>
    <w:rsid w:val="16AE10F1"/>
    <w:rsid w:val="16FC3A57"/>
    <w:rsid w:val="176D19FF"/>
    <w:rsid w:val="17942BA8"/>
    <w:rsid w:val="179775F2"/>
    <w:rsid w:val="17FD7FE9"/>
    <w:rsid w:val="18191B17"/>
    <w:rsid w:val="182D50B8"/>
    <w:rsid w:val="188D655F"/>
    <w:rsid w:val="18CC57EB"/>
    <w:rsid w:val="18F42D4D"/>
    <w:rsid w:val="190A6EA1"/>
    <w:rsid w:val="193A79F0"/>
    <w:rsid w:val="196C5C41"/>
    <w:rsid w:val="19752FF1"/>
    <w:rsid w:val="197874D5"/>
    <w:rsid w:val="1A053F7B"/>
    <w:rsid w:val="1A1B1635"/>
    <w:rsid w:val="1A2F7657"/>
    <w:rsid w:val="1A5E42D0"/>
    <w:rsid w:val="1ABB7CCD"/>
    <w:rsid w:val="1AEE52D3"/>
    <w:rsid w:val="1B0E6672"/>
    <w:rsid w:val="1B45757A"/>
    <w:rsid w:val="1B9F015F"/>
    <w:rsid w:val="1BDB6FF7"/>
    <w:rsid w:val="1C0D0BCA"/>
    <w:rsid w:val="1C27374C"/>
    <w:rsid w:val="1C517F83"/>
    <w:rsid w:val="1D1E53EE"/>
    <w:rsid w:val="1D214DD8"/>
    <w:rsid w:val="1D4D5CD3"/>
    <w:rsid w:val="1E54298F"/>
    <w:rsid w:val="1E6B3AF5"/>
    <w:rsid w:val="1E84750B"/>
    <w:rsid w:val="1ED2479E"/>
    <w:rsid w:val="1F5F5687"/>
    <w:rsid w:val="1F680515"/>
    <w:rsid w:val="1FC112C6"/>
    <w:rsid w:val="1FF41D98"/>
    <w:rsid w:val="2051065D"/>
    <w:rsid w:val="2096051C"/>
    <w:rsid w:val="21285868"/>
    <w:rsid w:val="216507D3"/>
    <w:rsid w:val="21F92F33"/>
    <w:rsid w:val="22046BDF"/>
    <w:rsid w:val="222C6A9F"/>
    <w:rsid w:val="22565515"/>
    <w:rsid w:val="22755A1E"/>
    <w:rsid w:val="228F6690"/>
    <w:rsid w:val="22A708D5"/>
    <w:rsid w:val="22AF37F5"/>
    <w:rsid w:val="235467D7"/>
    <w:rsid w:val="2401349F"/>
    <w:rsid w:val="243674C1"/>
    <w:rsid w:val="24F640B7"/>
    <w:rsid w:val="257265E7"/>
    <w:rsid w:val="25743484"/>
    <w:rsid w:val="25F954DB"/>
    <w:rsid w:val="26193812"/>
    <w:rsid w:val="26304DFC"/>
    <w:rsid w:val="266F2F1B"/>
    <w:rsid w:val="269D57AD"/>
    <w:rsid w:val="26AF3AA6"/>
    <w:rsid w:val="26C86E2D"/>
    <w:rsid w:val="26DE321A"/>
    <w:rsid w:val="272207A9"/>
    <w:rsid w:val="272E2E73"/>
    <w:rsid w:val="27B91C39"/>
    <w:rsid w:val="27EE45A2"/>
    <w:rsid w:val="27F61A9E"/>
    <w:rsid w:val="28114E40"/>
    <w:rsid w:val="284A2313"/>
    <w:rsid w:val="2874236C"/>
    <w:rsid w:val="289F28C5"/>
    <w:rsid w:val="28C63D9A"/>
    <w:rsid w:val="28CC4FED"/>
    <w:rsid w:val="2970130A"/>
    <w:rsid w:val="29F53A3D"/>
    <w:rsid w:val="2A330312"/>
    <w:rsid w:val="2A6E122D"/>
    <w:rsid w:val="2B1B75D8"/>
    <w:rsid w:val="2B5454F9"/>
    <w:rsid w:val="2BBC41F4"/>
    <w:rsid w:val="2BC924DB"/>
    <w:rsid w:val="2C13735F"/>
    <w:rsid w:val="2C1D4A63"/>
    <w:rsid w:val="2C2168F6"/>
    <w:rsid w:val="2CEA09F6"/>
    <w:rsid w:val="2D4C6E88"/>
    <w:rsid w:val="2D50777B"/>
    <w:rsid w:val="2D5147E9"/>
    <w:rsid w:val="2D9B15EC"/>
    <w:rsid w:val="2DC61D56"/>
    <w:rsid w:val="2E245609"/>
    <w:rsid w:val="2E247FC2"/>
    <w:rsid w:val="2EC44488"/>
    <w:rsid w:val="2ED8336B"/>
    <w:rsid w:val="2F6544CE"/>
    <w:rsid w:val="2F9724A4"/>
    <w:rsid w:val="3085186C"/>
    <w:rsid w:val="30871DAD"/>
    <w:rsid w:val="30A722E1"/>
    <w:rsid w:val="30DA5FB3"/>
    <w:rsid w:val="30ED46AC"/>
    <w:rsid w:val="30FA0A66"/>
    <w:rsid w:val="313F4739"/>
    <w:rsid w:val="314D2A6F"/>
    <w:rsid w:val="31A124F9"/>
    <w:rsid w:val="31BC0B24"/>
    <w:rsid w:val="31D33B2A"/>
    <w:rsid w:val="33005939"/>
    <w:rsid w:val="331E35AF"/>
    <w:rsid w:val="331F55C4"/>
    <w:rsid w:val="333B009C"/>
    <w:rsid w:val="33471930"/>
    <w:rsid w:val="334B7980"/>
    <w:rsid w:val="33A928CE"/>
    <w:rsid w:val="33C137F8"/>
    <w:rsid w:val="33C4477D"/>
    <w:rsid w:val="34336FAF"/>
    <w:rsid w:val="34516008"/>
    <w:rsid w:val="34666505"/>
    <w:rsid w:val="34DC77C8"/>
    <w:rsid w:val="34FD35C3"/>
    <w:rsid w:val="350B6C92"/>
    <w:rsid w:val="350C5378"/>
    <w:rsid w:val="35366BDD"/>
    <w:rsid w:val="353A5F70"/>
    <w:rsid w:val="36367C0D"/>
    <w:rsid w:val="36777018"/>
    <w:rsid w:val="372A0AD7"/>
    <w:rsid w:val="379F0983"/>
    <w:rsid w:val="37A44758"/>
    <w:rsid w:val="37BB437D"/>
    <w:rsid w:val="3839223A"/>
    <w:rsid w:val="387C327F"/>
    <w:rsid w:val="39A31C9F"/>
    <w:rsid w:val="39ED3ACF"/>
    <w:rsid w:val="3A531BA9"/>
    <w:rsid w:val="3A684EE0"/>
    <w:rsid w:val="3A965A45"/>
    <w:rsid w:val="3ACC329D"/>
    <w:rsid w:val="3B1E59BD"/>
    <w:rsid w:val="3B6A56F7"/>
    <w:rsid w:val="3B6C748D"/>
    <w:rsid w:val="3BCD503C"/>
    <w:rsid w:val="3BCD713C"/>
    <w:rsid w:val="3C4F2D46"/>
    <w:rsid w:val="3C75753F"/>
    <w:rsid w:val="3C92481E"/>
    <w:rsid w:val="3CDF1734"/>
    <w:rsid w:val="3CEE3985"/>
    <w:rsid w:val="3D717DB4"/>
    <w:rsid w:val="3DEF0FAA"/>
    <w:rsid w:val="3E043D34"/>
    <w:rsid w:val="3E3B14AB"/>
    <w:rsid w:val="3E3B7489"/>
    <w:rsid w:val="3E3D6B2B"/>
    <w:rsid w:val="3E453F37"/>
    <w:rsid w:val="3E6853F0"/>
    <w:rsid w:val="3E863754"/>
    <w:rsid w:val="3EBE037D"/>
    <w:rsid w:val="3EC76A8F"/>
    <w:rsid w:val="3F4725AC"/>
    <w:rsid w:val="403149DC"/>
    <w:rsid w:val="40667434"/>
    <w:rsid w:val="40961781"/>
    <w:rsid w:val="40D574B6"/>
    <w:rsid w:val="40DB6132"/>
    <w:rsid w:val="40F54BA3"/>
    <w:rsid w:val="410E6949"/>
    <w:rsid w:val="412C1E75"/>
    <w:rsid w:val="41C77552"/>
    <w:rsid w:val="41DC2F5D"/>
    <w:rsid w:val="42314073"/>
    <w:rsid w:val="42CC53F2"/>
    <w:rsid w:val="42FB3958"/>
    <w:rsid w:val="42FF70F8"/>
    <w:rsid w:val="432F4189"/>
    <w:rsid w:val="436241CB"/>
    <w:rsid w:val="43B63024"/>
    <w:rsid w:val="44C147DB"/>
    <w:rsid w:val="44C4421D"/>
    <w:rsid w:val="450F7AD2"/>
    <w:rsid w:val="45154265"/>
    <w:rsid w:val="45355715"/>
    <w:rsid w:val="46267925"/>
    <w:rsid w:val="462C7957"/>
    <w:rsid w:val="465626D6"/>
    <w:rsid w:val="4670321D"/>
    <w:rsid w:val="46B6099A"/>
    <w:rsid w:val="46BC369C"/>
    <w:rsid w:val="46D973C9"/>
    <w:rsid w:val="46F57441"/>
    <w:rsid w:val="47040343"/>
    <w:rsid w:val="47596A1D"/>
    <w:rsid w:val="476F5139"/>
    <w:rsid w:val="47FE0A4F"/>
    <w:rsid w:val="483D77C2"/>
    <w:rsid w:val="487657D3"/>
    <w:rsid w:val="493E0CCB"/>
    <w:rsid w:val="494574C2"/>
    <w:rsid w:val="497B6FF2"/>
    <w:rsid w:val="49894443"/>
    <w:rsid w:val="49AD5BED"/>
    <w:rsid w:val="49DA2C5A"/>
    <w:rsid w:val="49F266E1"/>
    <w:rsid w:val="4A6D27A8"/>
    <w:rsid w:val="4AA71688"/>
    <w:rsid w:val="4AC544BB"/>
    <w:rsid w:val="4AEB2EAC"/>
    <w:rsid w:val="4AFF7B54"/>
    <w:rsid w:val="4B1A6144"/>
    <w:rsid w:val="4B26325B"/>
    <w:rsid w:val="4B48598E"/>
    <w:rsid w:val="4B6363E0"/>
    <w:rsid w:val="4B871C4B"/>
    <w:rsid w:val="4BAB7C31"/>
    <w:rsid w:val="4BC230D9"/>
    <w:rsid w:val="4BC55ABF"/>
    <w:rsid w:val="4C251AF9"/>
    <w:rsid w:val="4C65221A"/>
    <w:rsid w:val="4C681932"/>
    <w:rsid w:val="4C9B2B75"/>
    <w:rsid w:val="4CBA3672"/>
    <w:rsid w:val="4CC40836"/>
    <w:rsid w:val="4D020D1B"/>
    <w:rsid w:val="4D117D41"/>
    <w:rsid w:val="4D135DC3"/>
    <w:rsid w:val="4D40389F"/>
    <w:rsid w:val="4DF420F5"/>
    <w:rsid w:val="4E0D2791"/>
    <w:rsid w:val="4E645C2C"/>
    <w:rsid w:val="4E880DD7"/>
    <w:rsid w:val="4E9E27A4"/>
    <w:rsid w:val="4ED1790C"/>
    <w:rsid w:val="4F07605B"/>
    <w:rsid w:val="4F4F5829"/>
    <w:rsid w:val="500130CE"/>
    <w:rsid w:val="50BC584E"/>
    <w:rsid w:val="50E0053E"/>
    <w:rsid w:val="50E75986"/>
    <w:rsid w:val="51322854"/>
    <w:rsid w:val="51C365B2"/>
    <w:rsid w:val="51E46AE7"/>
    <w:rsid w:val="5266163F"/>
    <w:rsid w:val="52C9784A"/>
    <w:rsid w:val="533D69FE"/>
    <w:rsid w:val="53FE5606"/>
    <w:rsid w:val="54724B97"/>
    <w:rsid w:val="54FF3B64"/>
    <w:rsid w:val="556F2863"/>
    <w:rsid w:val="55BB5001"/>
    <w:rsid w:val="56080DB4"/>
    <w:rsid w:val="560F104C"/>
    <w:rsid w:val="562767E7"/>
    <w:rsid w:val="563805C7"/>
    <w:rsid w:val="56594A37"/>
    <w:rsid w:val="56CF7EF9"/>
    <w:rsid w:val="56FA45C0"/>
    <w:rsid w:val="57283359"/>
    <w:rsid w:val="57301217"/>
    <w:rsid w:val="575E170A"/>
    <w:rsid w:val="57AE039A"/>
    <w:rsid w:val="57B34CC5"/>
    <w:rsid w:val="57BF5603"/>
    <w:rsid w:val="57E37910"/>
    <w:rsid w:val="57EA2AD2"/>
    <w:rsid w:val="57FC4542"/>
    <w:rsid w:val="586C6A21"/>
    <w:rsid w:val="59024996"/>
    <w:rsid w:val="596E1AC6"/>
    <w:rsid w:val="5A600155"/>
    <w:rsid w:val="5A623658"/>
    <w:rsid w:val="5A864B12"/>
    <w:rsid w:val="5A964DAC"/>
    <w:rsid w:val="5AA65677"/>
    <w:rsid w:val="5AD145A8"/>
    <w:rsid w:val="5AE96334"/>
    <w:rsid w:val="5AEF3F5C"/>
    <w:rsid w:val="5B133AED"/>
    <w:rsid w:val="5B600BE4"/>
    <w:rsid w:val="5B6D0D13"/>
    <w:rsid w:val="5B84122A"/>
    <w:rsid w:val="5BAA7AB6"/>
    <w:rsid w:val="5CFD206A"/>
    <w:rsid w:val="5D1570A9"/>
    <w:rsid w:val="5DC46AF0"/>
    <w:rsid w:val="5E02284A"/>
    <w:rsid w:val="5E0D2DD9"/>
    <w:rsid w:val="5E69675B"/>
    <w:rsid w:val="5EC4038A"/>
    <w:rsid w:val="5EE81843"/>
    <w:rsid w:val="5F1B2C24"/>
    <w:rsid w:val="5F50427D"/>
    <w:rsid w:val="5FB11391"/>
    <w:rsid w:val="5FB844E0"/>
    <w:rsid w:val="5FBE3E4A"/>
    <w:rsid w:val="60955C44"/>
    <w:rsid w:val="60A80276"/>
    <w:rsid w:val="61032E37"/>
    <w:rsid w:val="6142291C"/>
    <w:rsid w:val="614A42B9"/>
    <w:rsid w:val="614B322B"/>
    <w:rsid w:val="61B72394"/>
    <w:rsid w:val="61B9175B"/>
    <w:rsid w:val="61BE67B4"/>
    <w:rsid w:val="61ED0796"/>
    <w:rsid w:val="62030197"/>
    <w:rsid w:val="625B18C5"/>
    <w:rsid w:val="629B1C54"/>
    <w:rsid w:val="62A323F2"/>
    <w:rsid w:val="62A63745"/>
    <w:rsid w:val="63180ED9"/>
    <w:rsid w:val="636B232C"/>
    <w:rsid w:val="63DC38E5"/>
    <w:rsid w:val="63FB6398"/>
    <w:rsid w:val="641920C5"/>
    <w:rsid w:val="644545DB"/>
    <w:rsid w:val="64657FC6"/>
    <w:rsid w:val="64DB5A06"/>
    <w:rsid w:val="658E7693"/>
    <w:rsid w:val="65B66C35"/>
    <w:rsid w:val="65D95929"/>
    <w:rsid w:val="66007D67"/>
    <w:rsid w:val="660D5DBE"/>
    <w:rsid w:val="66570776"/>
    <w:rsid w:val="66B12B53"/>
    <w:rsid w:val="67425DF4"/>
    <w:rsid w:val="67703441"/>
    <w:rsid w:val="6777664F"/>
    <w:rsid w:val="679E650E"/>
    <w:rsid w:val="68523D9B"/>
    <w:rsid w:val="6876296E"/>
    <w:rsid w:val="68C23F39"/>
    <w:rsid w:val="68C617F4"/>
    <w:rsid w:val="6921668A"/>
    <w:rsid w:val="692E086F"/>
    <w:rsid w:val="69E375F2"/>
    <w:rsid w:val="6A08467F"/>
    <w:rsid w:val="6A66639C"/>
    <w:rsid w:val="6AC534B8"/>
    <w:rsid w:val="6B0604B5"/>
    <w:rsid w:val="6B142482"/>
    <w:rsid w:val="6B1B42E7"/>
    <w:rsid w:val="6B2A74D2"/>
    <w:rsid w:val="6B485019"/>
    <w:rsid w:val="6B5863FA"/>
    <w:rsid w:val="6B6C07CE"/>
    <w:rsid w:val="6BCC6269"/>
    <w:rsid w:val="6BD1083C"/>
    <w:rsid w:val="6BDE3F74"/>
    <w:rsid w:val="6C181AE8"/>
    <w:rsid w:val="6C766582"/>
    <w:rsid w:val="6CAA23D4"/>
    <w:rsid w:val="6CBE1074"/>
    <w:rsid w:val="6DA04EEA"/>
    <w:rsid w:val="6E1530D0"/>
    <w:rsid w:val="6E1E7D37"/>
    <w:rsid w:val="6E3A6D0D"/>
    <w:rsid w:val="6E7E696F"/>
    <w:rsid w:val="6E997680"/>
    <w:rsid w:val="6EC86450"/>
    <w:rsid w:val="6F0B235B"/>
    <w:rsid w:val="6F0C35BC"/>
    <w:rsid w:val="6F0C79BF"/>
    <w:rsid w:val="6F46694B"/>
    <w:rsid w:val="6F6E4D38"/>
    <w:rsid w:val="6FC16CB1"/>
    <w:rsid w:val="6FDF5799"/>
    <w:rsid w:val="70460FCF"/>
    <w:rsid w:val="705C05E6"/>
    <w:rsid w:val="70776C11"/>
    <w:rsid w:val="70910BA8"/>
    <w:rsid w:val="70BE6C1C"/>
    <w:rsid w:val="70E33C4E"/>
    <w:rsid w:val="70F54F38"/>
    <w:rsid w:val="71180999"/>
    <w:rsid w:val="715177AE"/>
    <w:rsid w:val="716A6FCD"/>
    <w:rsid w:val="71C1592F"/>
    <w:rsid w:val="71C96239"/>
    <w:rsid w:val="722B2DE0"/>
    <w:rsid w:val="72413CFE"/>
    <w:rsid w:val="72632299"/>
    <w:rsid w:val="726B0346"/>
    <w:rsid w:val="72BE537D"/>
    <w:rsid w:val="72DC3AFD"/>
    <w:rsid w:val="73257DCF"/>
    <w:rsid w:val="735D01F7"/>
    <w:rsid w:val="7395398E"/>
    <w:rsid w:val="746E4293"/>
    <w:rsid w:val="74711995"/>
    <w:rsid w:val="7506570B"/>
    <w:rsid w:val="75993F1F"/>
    <w:rsid w:val="75F20EE0"/>
    <w:rsid w:val="761C2024"/>
    <w:rsid w:val="763E110E"/>
    <w:rsid w:val="76B30C4A"/>
    <w:rsid w:val="7701204E"/>
    <w:rsid w:val="77726CC0"/>
    <w:rsid w:val="77954AC0"/>
    <w:rsid w:val="77BA61D3"/>
    <w:rsid w:val="77FA69E3"/>
    <w:rsid w:val="780211C0"/>
    <w:rsid w:val="787D351A"/>
    <w:rsid w:val="78CC477E"/>
    <w:rsid w:val="78D92D55"/>
    <w:rsid w:val="78E076EB"/>
    <w:rsid w:val="792D38DD"/>
    <w:rsid w:val="799A3D0D"/>
    <w:rsid w:val="7A5E5F9F"/>
    <w:rsid w:val="7A6153B6"/>
    <w:rsid w:val="7B6B3186"/>
    <w:rsid w:val="7B7E1B28"/>
    <w:rsid w:val="7C4C4989"/>
    <w:rsid w:val="7C705A17"/>
    <w:rsid w:val="7C890C4B"/>
    <w:rsid w:val="7CA03CF7"/>
    <w:rsid w:val="7DBC25AC"/>
    <w:rsid w:val="7DDA36CB"/>
    <w:rsid w:val="7E1D36F5"/>
    <w:rsid w:val="7F9C4F80"/>
    <w:rsid w:val="7FF2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5"/>
    <w:qFormat/>
    <w:uiPriority w:val="0"/>
    <w:pPr>
      <w:keepNext/>
      <w:keepLines/>
      <w:autoSpaceDE w:val="0"/>
      <w:autoSpaceDN w:val="0"/>
      <w:adjustRightInd w:val="0"/>
      <w:spacing w:before="240" w:after="120" w:line="300" w:lineRule="auto"/>
      <w:jc w:val="center"/>
      <w:outlineLvl w:val="0"/>
    </w:pPr>
    <w:rPr>
      <w:rFonts w:ascii="宋体" w:hAnsi="宋体"/>
      <w:b/>
      <w:kern w:val="44"/>
      <w:sz w:val="24"/>
    </w:rPr>
  </w:style>
  <w:style w:type="paragraph" w:styleId="3">
    <w:name w:val="heading 2"/>
    <w:basedOn w:val="1"/>
    <w:next w:val="1"/>
    <w:link w:val="150"/>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rPr>
  </w:style>
  <w:style w:type="paragraph" w:styleId="4">
    <w:name w:val="heading 3"/>
    <w:basedOn w:val="1"/>
    <w:next w:val="1"/>
    <w:link w:val="166"/>
    <w:qFormat/>
    <w:uiPriority w:val="0"/>
    <w:pPr>
      <w:keepNext/>
      <w:keepLines/>
      <w:spacing w:before="260" w:after="260" w:line="413" w:lineRule="auto"/>
      <w:outlineLvl w:val="2"/>
    </w:pPr>
    <w:rPr>
      <w:b/>
      <w:sz w:val="32"/>
    </w:rPr>
  </w:style>
  <w:style w:type="paragraph" w:styleId="5">
    <w:name w:val="heading 4"/>
    <w:basedOn w:val="1"/>
    <w:next w:val="1"/>
    <w:link w:val="15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autoRedefine/>
    <w:qFormat/>
    <w:uiPriority w:val="0"/>
    <w:pPr>
      <w:widowControl/>
      <w:tabs>
        <w:tab w:val="left" w:pos="1152"/>
      </w:tabs>
      <w:spacing w:before="120" w:after="60"/>
      <w:ind w:left="1152" w:hanging="1152"/>
      <w:jc w:val="left"/>
      <w:outlineLvl w:val="5"/>
    </w:pPr>
    <w:rPr>
      <w:i/>
      <w:kern w:val="0"/>
      <w:sz w:val="22"/>
    </w:rPr>
  </w:style>
  <w:style w:type="paragraph" w:styleId="8">
    <w:name w:val="heading 7"/>
    <w:basedOn w:val="1"/>
    <w:next w:val="1"/>
    <w:autoRedefine/>
    <w:qFormat/>
    <w:uiPriority w:val="0"/>
    <w:pPr>
      <w:widowControl/>
      <w:tabs>
        <w:tab w:val="left" w:pos="1296"/>
      </w:tabs>
      <w:spacing w:before="240" w:after="60"/>
      <w:ind w:left="1296" w:hanging="1296"/>
      <w:jc w:val="left"/>
      <w:outlineLvl w:val="6"/>
    </w:pPr>
    <w:rPr>
      <w:rFonts w:ascii="Arial" w:hAnsi="Arial"/>
      <w:kern w:val="0"/>
      <w:sz w:val="20"/>
    </w:rPr>
  </w:style>
  <w:style w:type="paragraph" w:styleId="9">
    <w:name w:val="heading 8"/>
    <w:basedOn w:val="1"/>
    <w:next w:val="1"/>
    <w:qFormat/>
    <w:uiPriority w:val="0"/>
    <w:pPr>
      <w:widowControl/>
      <w:tabs>
        <w:tab w:val="left" w:pos="1440"/>
      </w:tabs>
      <w:spacing w:before="240" w:after="60"/>
      <w:ind w:left="1440" w:hanging="1440"/>
      <w:jc w:val="left"/>
      <w:outlineLvl w:val="7"/>
    </w:pPr>
    <w:rPr>
      <w:rFonts w:ascii="Arial" w:hAnsi="Arial"/>
      <w:i/>
      <w:kern w:val="0"/>
      <w:sz w:val="20"/>
    </w:rPr>
  </w:style>
  <w:style w:type="paragraph" w:styleId="10">
    <w:name w:val="heading 9"/>
    <w:basedOn w:val="1"/>
    <w:next w:val="1"/>
    <w:autoRedefine/>
    <w:qFormat/>
    <w:uiPriority w:val="0"/>
    <w:pPr>
      <w:widowControl/>
      <w:tabs>
        <w:tab w:val="left" w:pos="1584"/>
      </w:tabs>
      <w:spacing w:before="240" w:after="60"/>
      <w:ind w:left="1584" w:hanging="1584"/>
      <w:jc w:val="left"/>
      <w:outlineLvl w:val="8"/>
    </w:pPr>
    <w:rPr>
      <w:rFonts w:ascii="Arial" w:hAnsi="Arial"/>
      <w:b/>
      <w:i/>
      <w:kern w:val="0"/>
      <w:sz w:val="18"/>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0"/>
    <w:pPr>
      <w:ind w:left="2520" w:leftChars="1200"/>
    </w:pPr>
  </w:style>
  <w:style w:type="paragraph" w:styleId="12">
    <w:name w:val="Normal Indent"/>
    <w:basedOn w:val="1"/>
    <w:link w:val="158"/>
    <w:autoRedefine/>
    <w:qFormat/>
    <w:uiPriority w:val="0"/>
    <w:pPr>
      <w:ind w:firstLine="420" w:firstLineChars="200"/>
    </w:pPr>
  </w:style>
  <w:style w:type="paragraph" w:styleId="13">
    <w:name w:val="caption"/>
    <w:basedOn w:val="1"/>
    <w:next w:val="1"/>
    <w:qFormat/>
    <w:uiPriority w:val="0"/>
    <w:pPr>
      <w:spacing w:before="152" w:after="160"/>
    </w:pPr>
    <w:rPr>
      <w:rFonts w:ascii="Arial" w:hAnsi="Arial" w:eastAsia="黑体" w:cs="Arial"/>
      <w:sz w:val="20"/>
    </w:rPr>
  </w:style>
  <w:style w:type="paragraph" w:styleId="14">
    <w:name w:val="Document Map"/>
    <w:basedOn w:val="1"/>
    <w:autoRedefine/>
    <w:semiHidden/>
    <w:qFormat/>
    <w:uiPriority w:val="0"/>
    <w:pPr>
      <w:shd w:val="clear" w:color="auto" w:fill="000080"/>
    </w:pPr>
    <w:rPr>
      <w:szCs w:val="24"/>
    </w:rPr>
  </w:style>
  <w:style w:type="paragraph" w:styleId="15">
    <w:name w:val="annotation text"/>
    <w:basedOn w:val="1"/>
    <w:semiHidden/>
    <w:qFormat/>
    <w:uiPriority w:val="0"/>
    <w:pPr>
      <w:jc w:val="left"/>
    </w:pPr>
  </w:style>
  <w:style w:type="paragraph" w:styleId="16">
    <w:name w:val="Body Text 3"/>
    <w:basedOn w:val="1"/>
    <w:autoRedefine/>
    <w:qFormat/>
    <w:uiPriority w:val="0"/>
    <w:rPr>
      <w:color w:val="000000"/>
      <w:sz w:val="28"/>
      <w:szCs w:val="24"/>
    </w:rPr>
  </w:style>
  <w:style w:type="paragraph" w:styleId="17">
    <w:name w:val="Body Text"/>
    <w:basedOn w:val="1"/>
    <w:autoRedefine/>
    <w:qFormat/>
    <w:uiPriority w:val="0"/>
    <w:rPr>
      <w:sz w:val="24"/>
    </w:rPr>
  </w:style>
  <w:style w:type="paragraph" w:styleId="18">
    <w:name w:val="Body Text Indent"/>
    <w:basedOn w:val="1"/>
    <w:link w:val="162"/>
    <w:autoRedefine/>
    <w:qFormat/>
    <w:uiPriority w:val="0"/>
    <w:pPr>
      <w:snapToGrid w:val="0"/>
      <w:spacing w:line="300" w:lineRule="auto"/>
      <w:ind w:firstLine="524" w:firstLineChars="187"/>
    </w:pPr>
    <w:rPr>
      <w:rFonts w:eastAsia="仿宋_GB2312"/>
      <w:sz w:val="28"/>
    </w:rPr>
  </w:style>
  <w:style w:type="paragraph" w:styleId="19">
    <w:name w:val="toc 5"/>
    <w:basedOn w:val="1"/>
    <w:next w:val="1"/>
    <w:autoRedefine/>
    <w:semiHidden/>
    <w:qFormat/>
    <w:uiPriority w:val="0"/>
    <w:pPr>
      <w:ind w:left="1680" w:leftChars="800"/>
    </w:pPr>
  </w:style>
  <w:style w:type="paragraph" w:styleId="20">
    <w:name w:val="toc 3"/>
    <w:basedOn w:val="1"/>
    <w:next w:val="1"/>
    <w:autoRedefine/>
    <w:qFormat/>
    <w:uiPriority w:val="0"/>
    <w:pPr>
      <w:ind w:left="840" w:leftChars="400"/>
    </w:pPr>
  </w:style>
  <w:style w:type="paragraph" w:styleId="21">
    <w:name w:val="Plain Text"/>
    <w:basedOn w:val="1"/>
    <w:link w:val="161"/>
    <w:autoRedefine/>
    <w:qFormat/>
    <w:uiPriority w:val="0"/>
    <w:rPr>
      <w:rFonts w:ascii="宋体" w:hAnsi="Courier New"/>
    </w:rPr>
  </w:style>
  <w:style w:type="paragraph" w:styleId="22">
    <w:name w:val="toc 8"/>
    <w:basedOn w:val="1"/>
    <w:next w:val="1"/>
    <w:autoRedefine/>
    <w:semiHidden/>
    <w:qFormat/>
    <w:uiPriority w:val="0"/>
    <w:pPr>
      <w:ind w:left="2940" w:leftChars="1400"/>
    </w:pPr>
  </w:style>
  <w:style w:type="paragraph" w:styleId="23">
    <w:name w:val="Date"/>
    <w:basedOn w:val="1"/>
    <w:next w:val="1"/>
    <w:autoRedefine/>
    <w:qFormat/>
    <w:uiPriority w:val="0"/>
    <w:pPr>
      <w:ind w:left="100" w:leftChars="2500"/>
    </w:pPr>
    <w:rPr>
      <w:b/>
      <w:sz w:val="30"/>
    </w:rPr>
  </w:style>
  <w:style w:type="paragraph" w:styleId="24">
    <w:name w:val="Body Text Indent 2"/>
    <w:basedOn w:val="1"/>
    <w:autoRedefine/>
    <w:qFormat/>
    <w:uiPriority w:val="0"/>
    <w:pPr>
      <w:spacing w:after="120" w:line="480" w:lineRule="auto"/>
      <w:ind w:left="420"/>
    </w:pPr>
  </w:style>
  <w:style w:type="paragraph" w:styleId="25">
    <w:name w:val="Balloon Text"/>
    <w:basedOn w:val="1"/>
    <w:autoRedefine/>
    <w:semiHidden/>
    <w:qFormat/>
    <w:uiPriority w:val="0"/>
    <w:rPr>
      <w:sz w:val="18"/>
      <w:szCs w:val="18"/>
    </w:rPr>
  </w:style>
  <w:style w:type="paragraph" w:styleId="26">
    <w:name w:val="footer"/>
    <w:basedOn w:val="1"/>
    <w:link w:val="153"/>
    <w:autoRedefine/>
    <w:qFormat/>
    <w:uiPriority w:val="0"/>
    <w:pPr>
      <w:tabs>
        <w:tab w:val="center" w:pos="4153"/>
        <w:tab w:val="right" w:pos="8306"/>
      </w:tabs>
      <w:adjustRightInd w:val="0"/>
      <w:spacing w:line="240" w:lineRule="atLeast"/>
      <w:jc w:val="left"/>
      <w:textAlignment w:val="baseline"/>
    </w:pPr>
    <w:rPr>
      <w:kern w:val="0"/>
      <w:sz w:val="18"/>
    </w:rPr>
  </w:style>
  <w:style w:type="paragraph" w:styleId="2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autoRedefine/>
    <w:qFormat/>
    <w:uiPriority w:val="0"/>
  </w:style>
  <w:style w:type="paragraph" w:styleId="29">
    <w:name w:val="toc 4"/>
    <w:basedOn w:val="1"/>
    <w:next w:val="1"/>
    <w:autoRedefine/>
    <w:semiHidden/>
    <w:qFormat/>
    <w:uiPriority w:val="0"/>
    <w:pPr>
      <w:ind w:left="1260" w:leftChars="600"/>
    </w:pPr>
  </w:style>
  <w:style w:type="paragraph" w:styleId="30">
    <w:name w:val="index heading"/>
    <w:basedOn w:val="1"/>
    <w:next w:val="31"/>
    <w:autoRedefine/>
    <w:semiHidden/>
    <w:qFormat/>
    <w:uiPriority w:val="0"/>
    <w:rPr>
      <w:szCs w:val="24"/>
    </w:rPr>
  </w:style>
  <w:style w:type="paragraph" w:styleId="31">
    <w:name w:val="index 1"/>
    <w:basedOn w:val="1"/>
    <w:next w:val="1"/>
    <w:autoRedefine/>
    <w:semiHidden/>
    <w:qFormat/>
    <w:uiPriority w:val="0"/>
  </w:style>
  <w:style w:type="paragraph" w:styleId="32">
    <w:name w:val="List"/>
    <w:basedOn w:val="1"/>
    <w:autoRedefine/>
    <w:unhideWhenUsed/>
    <w:qFormat/>
    <w:uiPriority w:val="0"/>
    <w:pPr>
      <w:ind w:left="420" w:hanging="420"/>
    </w:pPr>
  </w:style>
  <w:style w:type="paragraph" w:styleId="33">
    <w:name w:val="footnote text"/>
    <w:basedOn w:val="1"/>
    <w:autoRedefine/>
    <w:semiHidden/>
    <w:qFormat/>
    <w:uiPriority w:val="0"/>
    <w:pPr>
      <w:snapToGrid w:val="0"/>
      <w:jc w:val="left"/>
    </w:pPr>
    <w:rPr>
      <w:sz w:val="18"/>
      <w:szCs w:val="18"/>
    </w:rPr>
  </w:style>
  <w:style w:type="paragraph" w:styleId="34">
    <w:name w:val="toc 6"/>
    <w:basedOn w:val="1"/>
    <w:next w:val="1"/>
    <w:autoRedefine/>
    <w:semiHidden/>
    <w:qFormat/>
    <w:uiPriority w:val="0"/>
    <w:pPr>
      <w:ind w:left="2100" w:leftChars="1000"/>
    </w:pPr>
  </w:style>
  <w:style w:type="paragraph" w:styleId="35">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rPr>
  </w:style>
  <w:style w:type="paragraph" w:styleId="36">
    <w:name w:val="toc 2"/>
    <w:basedOn w:val="1"/>
    <w:next w:val="1"/>
    <w:autoRedefine/>
    <w:qFormat/>
    <w:uiPriority w:val="0"/>
    <w:pPr>
      <w:ind w:left="420" w:leftChars="200"/>
    </w:pPr>
  </w:style>
  <w:style w:type="paragraph" w:styleId="37">
    <w:name w:val="toc 9"/>
    <w:basedOn w:val="1"/>
    <w:next w:val="1"/>
    <w:autoRedefine/>
    <w:semiHidden/>
    <w:qFormat/>
    <w:uiPriority w:val="0"/>
    <w:pPr>
      <w:ind w:left="3360" w:leftChars="1600"/>
    </w:pPr>
  </w:style>
  <w:style w:type="paragraph" w:styleId="38">
    <w:name w:val="Body Text 2"/>
    <w:basedOn w:val="1"/>
    <w:autoRedefine/>
    <w:qFormat/>
    <w:uiPriority w:val="0"/>
    <w:rPr>
      <w:rFonts w:hAnsi="Arial"/>
      <w:sz w:val="16"/>
      <w:szCs w:val="16"/>
    </w:rPr>
  </w:style>
  <w:style w:type="paragraph" w:styleId="3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0">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41">
    <w:name w:val="Title"/>
    <w:basedOn w:val="1"/>
    <w:autoRedefine/>
    <w:qFormat/>
    <w:uiPriority w:val="0"/>
    <w:pPr>
      <w:numPr>
        <w:ilvl w:val="0"/>
        <w:numId w:val="1"/>
      </w:numPr>
      <w:spacing w:before="240" w:after="60"/>
      <w:jc w:val="left"/>
      <w:outlineLvl w:val="0"/>
    </w:pPr>
    <w:rPr>
      <w:rFonts w:ascii="Arial" w:hAnsi="Arial" w:cs="Arial"/>
      <w:b/>
      <w:bCs/>
      <w:sz w:val="28"/>
      <w:szCs w:val="32"/>
    </w:rPr>
  </w:style>
  <w:style w:type="paragraph" w:styleId="42">
    <w:name w:val="annotation subject"/>
    <w:basedOn w:val="15"/>
    <w:next w:val="15"/>
    <w:autoRedefine/>
    <w:semiHidden/>
    <w:qFormat/>
    <w:uiPriority w:val="0"/>
    <w:rPr>
      <w:b/>
      <w:bCs/>
      <w:szCs w:val="24"/>
    </w:rPr>
  </w:style>
  <w:style w:type="paragraph" w:styleId="43">
    <w:name w:val="Body Text First Indent"/>
    <w:basedOn w:val="17"/>
    <w:qFormat/>
    <w:uiPriority w:val="0"/>
    <w:pPr>
      <w:spacing w:line="360" w:lineRule="auto"/>
      <w:ind w:firstLine="420" w:firstLineChars="100"/>
    </w:pPr>
  </w:style>
  <w:style w:type="table" w:styleId="45">
    <w:name w:val="Table Grid"/>
    <w:basedOn w:val="4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22"/>
    <w:rPr>
      <w:b/>
      <w:bCs/>
    </w:rPr>
  </w:style>
  <w:style w:type="character" w:styleId="48">
    <w:name w:val="page number"/>
    <w:basedOn w:val="46"/>
    <w:autoRedefine/>
    <w:qFormat/>
    <w:uiPriority w:val="0"/>
  </w:style>
  <w:style w:type="character" w:styleId="49">
    <w:name w:val="FollowedHyperlink"/>
    <w:autoRedefine/>
    <w:qFormat/>
    <w:uiPriority w:val="99"/>
    <w:rPr>
      <w:color w:val="800080"/>
      <w:u w:val="none"/>
    </w:rPr>
  </w:style>
  <w:style w:type="character" w:styleId="50">
    <w:name w:val="Hyperlink"/>
    <w:autoRedefine/>
    <w:qFormat/>
    <w:uiPriority w:val="99"/>
    <w:rPr>
      <w:caps/>
      <w:color w:val="0000FF"/>
    </w:rPr>
  </w:style>
  <w:style w:type="character" w:styleId="51">
    <w:name w:val="annotation reference"/>
    <w:autoRedefine/>
    <w:semiHidden/>
    <w:qFormat/>
    <w:uiPriority w:val="0"/>
    <w:rPr>
      <w:sz w:val="21"/>
    </w:rPr>
  </w:style>
  <w:style w:type="character" w:styleId="52">
    <w:name w:val="footnote reference"/>
    <w:autoRedefine/>
    <w:semiHidden/>
    <w:qFormat/>
    <w:uiPriority w:val="0"/>
    <w:rPr>
      <w:vertAlign w:val="superscript"/>
    </w:rPr>
  </w:style>
  <w:style w:type="paragraph" w:styleId="53">
    <w:name w:val="No Spacing"/>
    <w:qFormat/>
    <w:uiPriority w:val="1"/>
    <w:rPr>
      <w:rFonts w:ascii="Calibri" w:hAnsi="Calibri" w:eastAsia="宋体" w:cs="Times New Roman"/>
      <w:sz w:val="22"/>
      <w:szCs w:val="22"/>
      <w:lang w:val="en-US" w:eastAsia="zh-CN" w:bidi="ar-SA"/>
    </w:rPr>
  </w:style>
  <w:style w:type="paragraph" w:customStyle="1" w:styleId="54">
    <w:name w:val="正文（缩进） Char"/>
    <w:basedOn w:val="1"/>
    <w:link w:val="154"/>
    <w:autoRedefine/>
    <w:qFormat/>
    <w:uiPriority w:val="0"/>
    <w:pPr>
      <w:spacing w:before="156" w:beforeLines="50" w:after="156" w:afterLines="50" w:line="360" w:lineRule="auto"/>
      <w:ind w:firstLine="480" w:firstLineChars="200"/>
    </w:pPr>
    <w:rPr>
      <w:sz w:val="24"/>
      <w:szCs w:val="24"/>
    </w:rPr>
  </w:style>
  <w:style w:type="paragraph" w:customStyle="1" w:styleId="55">
    <w:name w:val="正文（缩进）"/>
    <w:basedOn w:val="1"/>
    <w:link w:val="159"/>
    <w:autoRedefine/>
    <w:qFormat/>
    <w:uiPriority w:val="0"/>
    <w:pPr>
      <w:spacing w:before="156" w:beforeLines="50" w:after="156" w:afterLines="50" w:line="360" w:lineRule="auto"/>
      <w:ind w:firstLine="480" w:firstLineChars="200"/>
    </w:pPr>
    <w:rPr>
      <w:sz w:val="24"/>
      <w:szCs w:val="24"/>
    </w:rPr>
  </w:style>
  <w:style w:type="paragraph" w:customStyle="1" w:styleId="56">
    <w:name w:val="Text Char Char"/>
    <w:basedOn w:val="1"/>
    <w:link w:val="163"/>
    <w:autoRedefine/>
    <w:qFormat/>
    <w:uiPriority w:val="0"/>
    <w:pPr>
      <w:widowControl/>
      <w:spacing w:after="120"/>
      <w:jc w:val="left"/>
    </w:pPr>
    <w:rPr>
      <w:kern w:val="0"/>
      <w:sz w:val="24"/>
      <w:lang w:eastAsia="en-US"/>
    </w:rPr>
  </w:style>
  <w:style w:type="paragraph" w:customStyle="1" w:styleId="57">
    <w:name w:val="Char1 Char Char1 Char"/>
    <w:basedOn w:val="1"/>
    <w:autoRedefine/>
    <w:qFormat/>
    <w:uiPriority w:val="0"/>
    <w:pPr>
      <w:tabs>
        <w:tab w:val="left" w:pos="420"/>
      </w:tabs>
      <w:ind w:left="420" w:hanging="420"/>
    </w:pPr>
    <w:rPr>
      <w:rFonts w:ascii="Tahoma" w:hAnsi="Tahoma" w:cs="Tahoma"/>
      <w:sz w:val="28"/>
      <w:szCs w:val="28"/>
    </w:rPr>
  </w:style>
  <w:style w:type="paragraph" w:customStyle="1" w:styleId="58">
    <w:name w:val="xl51"/>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59">
    <w:name w:val="xl3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60">
    <w:name w:val="xl59"/>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0"/>
    </w:rPr>
  </w:style>
  <w:style w:type="paragraph" w:customStyle="1" w:styleId="62">
    <w:name w:val="图文"/>
    <w:basedOn w:val="1"/>
    <w:autoRedefine/>
    <w:qFormat/>
    <w:uiPriority w:val="0"/>
    <w:pPr>
      <w:adjustRightInd w:val="0"/>
      <w:snapToGrid w:val="0"/>
      <w:spacing w:after="50" w:line="360" w:lineRule="auto"/>
    </w:pPr>
    <w:rPr>
      <w:sz w:val="24"/>
    </w:rPr>
  </w:style>
  <w:style w:type="paragraph" w:customStyle="1" w:styleId="63">
    <w:name w:val="xl53"/>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4">
    <w:name w:val="font9"/>
    <w:basedOn w:val="1"/>
    <w:autoRedefine/>
    <w:qFormat/>
    <w:uiPriority w:val="0"/>
    <w:pPr>
      <w:widowControl/>
      <w:spacing w:before="100" w:beforeAutospacing="1" w:after="100" w:afterAutospacing="1"/>
      <w:jc w:val="left"/>
    </w:pPr>
    <w:rPr>
      <w:rFonts w:eastAsia="Arial Unicode MS"/>
      <w:kern w:val="0"/>
      <w:sz w:val="20"/>
    </w:rPr>
  </w:style>
  <w:style w:type="paragraph" w:customStyle="1" w:styleId="65">
    <w:name w:val="项目"/>
    <w:basedOn w:val="1"/>
    <w:autoRedefine/>
    <w:qFormat/>
    <w:uiPriority w:val="0"/>
    <w:pPr>
      <w:numPr>
        <w:ilvl w:val="0"/>
        <w:numId w:val="2"/>
      </w:numPr>
      <w:tabs>
        <w:tab w:val="left" w:pos="425"/>
        <w:tab w:val="clear" w:pos="880"/>
      </w:tabs>
      <w:adjustRightInd w:val="0"/>
      <w:spacing w:before="120" w:after="120"/>
      <w:ind w:left="425" w:hanging="425"/>
      <w:jc w:val="left"/>
    </w:pPr>
    <w:rPr>
      <w:rFonts w:ascii="宋体"/>
      <w:kern w:val="0"/>
      <w:sz w:val="24"/>
    </w:rPr>
  </w:style>
  <w:style w:type="paragraph" w:customStyle="1" w:styleId="66">
    <w:name w:val="文章标题"/>
    <w:next w:val="2"/>
    <w:autoRedefine/>
    <w:qFormat/>
    <w:uiPriority w:val="0"/>
    <w:pPr>
      <w:widowControl w:val="0"/>
      <w:adjustRightInd w:val="0"/>
      <w:spacing w:before="120" w:after="120"/>
      <w:jc w:val="center"/>
      <w:textAlignment w:val="baseline"/>
    </w:pPr>
    <w:rPr>
      <w:rFonts w:ascii="黑体" w:hAnsi="Times New Roman" w:eastAsia="黑体" w:cs="Times New Roman"/>
      <w:b/>
      <w:spacing w:val="20"/>
      <w:sz w:val="36"/>
      <w:lang w:val="en-US" w:eastAsia="zh-CN" w:bidi="ar-SA"/>
    </w:rPr>
  </w:style>
  <w:style w:type="paragraph" w:customStyle="1" w:styleId="67">
    <w:name w:val="tableheading"/>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b/>
      <w:bCs/>
      <w:kern w:val="0"/>
      <w:sz w:val="24"/>
      <w:szCs w:val="24"/>
    </w:rPr>
  </w:style>
  <w:style w:type="paragraph" w:customStyle="1" w:styleId="69">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b/>
      <w:bCs/>
      <w:kern w:val="0"/>
      <w:sz w:val="24"/>
      <w:szCs w:val="24"/>
    </w:rPr>
  </w:style>
  <w:style w:type="paragraph" w:customStyle="1" w:styleId="70">
    <w:name w:val="xl5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71">
    <w:name w:val="font14"/>
    <w:basedOn w:val="1"/>
    <w:autoRedefine/>
    <w:qFormat/>
    <w:uiPriority w:val="0"/>
    <w:pPr>
      <w:widowControl/>
      <w:spacing w:before="100" w:beforeAutospacing="1" w:after="100" w:afterAutospacing="1"/>
      <w:jc w:val="left"/>
    </w:pPr>
    <w:rPr>
      <w:rFonts w:hint="eastAsia" w:ascii="宋体" w:hAnsi="宋体" w:cs="Arial Unicode MS"/>
      <w:i/>
      <w:iCs/>
      <w:color w:val="000000"/>
      <w:kern w:val="0"/>
      <w:szCs w:val="21"/>
    </w:rPr>
  </w:style>
  <w:style w:type="paragraph" w:customStyle="1" w:styleId="72">
    <w:name w:val="图"/>
    <w:basedOn w:val="1"/>
    <w:next w:val="1"/>
    <w:autoRedefine/>
    <w:qFormat/>
    <w:uiPriority w:val="0"/>
    <w:pPr>
      <w:tabs>
        <w:tab w:val="left" w:pos="680"/>
      </w:tabs>
      <w:adjustRightInd w:val="0"/>
      <w:spacing w:before="60" w:after="60" w:line="360" w:lineRule="atLeast"/>
      <w:jc w:val="center"/>
      <w:textAlignment w:val="baseline"/>
    </w:pPr>
    <w:rPr>
      <w:rFonts w:eastAsia="仿宋_GB2312"/>
      <w:b/>
      <w:kern w:val="0"/>
      <w:sz w:val="28"/>
    </w:rPr>
  </w:style>
  <w:style w:type="paragraph" w:customStyle="1" w:styleId="73">
    <w:name w:val="xl6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74">
    <w:name w:val="font6"/>
    <w:basedOn w:val="1"/>
    <w:autoRedefine/>
    <w:qFormat/>
    <w:uiPriority w:val="0"/>
    <w:pPr>
      <w:widowControl/>
      <w:spacing w:before="100" w:beforeAutospacing="1" w:after="100" w:afterAutospacing="1"/>
      <w:jc w:val="left"/>
    </w:pPr>
    <w:rPr>
      <w:rFonts w:hint="eastAsia" w:ascii="宋体" w:hAnsi="宋体"/>
      <w:kern w:val="0"/>
      <w:sz w:val="20"/>
    </w:rPr>
  </w:style>
  <w:style w:type="paragraph" w:customStyle="1" w:styleId="75">
    <w:name w:val="Char Char Char Char Char Char Char Char"/>
    <w:basedOn w:val="1"/>
    <w:autoRedefine/>
    <w:qFormat/>
    <w:uiPriority w:val="0"/>
    <w:pPr>
      <w:tabs>
        <w:tab w:val="left" w:pos="360"/>
      </w:tabs>
    </w:pPr>
    <w:rPr>
      <w:sz w:val="24"/>
      <w:szCs w:val="24"/>
    </w:rPr>
  </w:style>
  <w:style w:type="paragraph" w:customStyle="1" w:styleId="76">
    <w:name w:val="正文内容"/>
    <w:basedOn w:val="1"/>
    <w:autoRedefine/>
    <w:qFormat/>
    <w:uiPriority w:val="0"/>
    <w:pPr>
      <w:adjustRightInd w:val="0"/>
      <w:spacing w:line="360" w:lineRule="auto"/>
      <w:ind w:firstLine="480" w:firstLineChars="200"/>
      <w:jc w:val="left"/>
      <w:textAlignment w:val="baseline"/>
    </w:pPr>
    <w:rPr>
      <w:rFonts w:ascii="Arial" w:hAnsi="Arial"/>
      <w:sz w:val="24"/>
      <w:szCs w:val="21"/>
    </w:rPr>
  </w:style>
  <w:style w:type="paragraph" w:customStyle="1" w:styleId="77">
    <w:name w:val="0"/>
    <w:basedOn w:val="1"/>
    <w:autoRedefine/>
    <w:qFormat/>
    <w:uiPriority w:val="0"/>
    <w:pPr>
      <w:widowControl/>
      <w:snapToGrid w:val="0"/>
      <w:spacing w:before="156" w:after="156" w:line="360" w:lineRule="auto"/>
    </w:pPr>
    <w:rPr>
      <w:kern w:val="0"/>
      <w:sz w:val="24"/>
    </w:rPr>
  </w:style>
  <w:style w:type="paragraph" w:customStyle="1" w:styleId="78">
    <w:name w:val="正文格式"/>
    <w:basedOn w:val="1"/>
    <w:autoRedefine/>
    <w:qFormat/>
    <w:uiPriority w:val="0"/>
    <w:pPr>
      <w:widowControl/>
      <w:adjustRightInd w:val="0"/>
      <w:snapToGrid w:val="0"/>
      <w:spacing w:line="360" w:lineRule="atLeast"/>
      <w:ind w:firstLine="482"/>
      <w:textAlignment w:val="baseline"/>
    </w:pPr>
    <w:rPr>
      <w:kern w:val="0"/>
      <w:sz w:val="24"/>
    </w:rPr>
  </w:style>
  <w:style w:type="paragraph" w:customStyle="1" w:styleId="79">
    <w:name w:val="font10"/>
    <w:basedOn w:val="1"/>
    <w:autoRedefine/>
    <w:qFormat/>
    <w:uiPriority w:val="0"/>
    <w:pPr>
      <w:widowControl/>
      <w:spacing w:before="100" w:beforeAutospacing="1" w:after="100" w:afterAutospacing="1"/>
      <w:jc w:val="left"/>
    </w:pPr>
    <w:rPr>
      <w:rFonts w:hint="eastAsia" w:ascii="宋体" w:hAnsi="宋体" w:cs="Arial Unicode MS"/>
      <w:b/>
      <w:bCs/>
      <w:color w:val="000000"/>
      <w:kern w:val="0"/>
      <w:sz w:val="20"/>
    </w:rPr>
  </w:style>
  <w:style w:type="paragraph" w:customStyle="1" w:styleId="80">
    <w:name w:val="Char Char Char Char"/>
    <w:basedOn w:val="14"/>
    <w:autoRedefine/>
    <w:qFormat/>
    <w:uiPriority w:val="0"/>
    <w:rPr>
      <w:rFonts w:ascii="Tahoma" w:hAnsi="Tahoma"/>
      <w:sz w:val="24"/>
    </w:rPr>
  </w:style>
  <w:style w:type="paragraph" w:customStyle="1" w:styleId="81">
    <w:name w:val="1"/>
    <w:basedOn w:val="1"/>
    <w:next w:val="24"/>
    <w:autoRedefine/>
    <w:qFormat/>
    <w:uiPriority w:val="0"/>
    <w:pPr>
      <w:adjustRightInd w:val="0"/>
      <w:spacing w:line="360" w:lineRule="atLeast"/>
      <w:ind w:left="600" w:firstLine="720"/>
      <w:jc w:val="left"/>
      <w:textAlignment w:val="baseline"/>
    </w:pPr>
    <w:rPr>
      <w:rFonts w:ascii="宋体"/>
      <w:kern w:val="0"/>
      <w:sz w:val="24"/>
    </w:rPr>
  </w:style>
  <w:style w:type="paragraph" w:customStyle="1" w:styleId="82">
    <w:name w:val="标题6"/>
    <w:basedOn w:val="21"/>
    <w:autoRedefine/>
    <w:qFormat/>
    <w:uiPriority w:val="0"/>
    <w:pPr>
      <w:spacing w:line="360" w:lineRule="auto"/>
    </w:pPr>
    <w:rPr>
      <w:rFonts w:hAnsi="宋体"/>
      <w:b/>
    </w:rPr>
  </w:style>
  <w:style w:type="paragraph" w:customStyle="1" w:styleId="83">
    <w:name w:val="项目2"/>
    <w:basedOn w:val="1"/>
    <w:autoRedefine/>
    <w:qFormat/>
    <w:uiPriority w:val="0"/>
    <w:pPr>
      <w:tabs>
        <w:tab w:val="left" w:pos="425"/>
      </w:tabs>
      <w:spacing w:before="60" w:after="60" w:line="360" w:lineRule="auto"/>
      <w:ind w:left="425" w:hanging="425"/>
    </w:pPr>
    <w:rPr>
      <w:sz w:val="24"/>
    </w:rPr>
  </w:style>
  <w:style w:type="paragraph" w:customStyle="1" w:styleId="84">
    <w:name w:val="xl47"/>
    <w:basedOn w:val="1"/>
    <w:autoRedefine/>
    <w:qFormat/>
    <w:uiPriority w:val="0"/>
    <w:pPr>
      <w:widowControl/>
      <w:pBdr>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5">
    <w:name w:val="样式1"/>
    <w:basedOn w:val="5"/>
    <w:autoRedefine/>
    <w:qFormat/>
    <w:uiPriority w:val="0"/>
    <w:pPr>
      <w:tabs>
        <w:tab w:val="left" w:pos="992"/>
      </w:tabs>
      <w:spacing w:line="420" w:lineRule="exact"/>
      <w:ind w:left="992" w:hanging="567"/>
    </w:pPr>
    <w:rPr>
      <w:sz w:val="24"/>
    </w:rPr>
  </w:style>
  <w:style w:type="paragraph" w:customStyle="1" w:styleId="86">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7">
    <w:name w:val="标题3"/>
    <w:basedOn w:val="4"/>
    <w:autoRedefine/>
    <w:qFormat/>
    <w:uiPriority w:val="0"/>
    <w:pPr>
      <w:spacing w:before="0" w:after="0" w:line="360" w:lineRule="auto"/>
      <w:ind w:left="1258" w:hanging="1258" w:hangingChars="522"/>
    </w:pPr>
    <w:rPr>
      <w:bCs/>
      <w:sz w:val="24"/>
      <w:szCs w:val="32"/>
    </w:rPr>
  </w:style>
  <w:style w:type="paragraph" w:customStyle="1" w:styleId="88">
    <w:name w:val="xl62"/>
    <w:basedOn w:val="1"/>
    <w:autoRedefine/>
    <w:qFormat/>
    <w:uiPriority w:val="0"/>
    <w:pPr>
      <w:widowControl/>
      <w:pBdr>
        <w:top w:val="single" w:color="auto" w:sz="8" w:space="0"/>
        <w:left w:val="single" w:color="auto" w:sz="8"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9">
    <w:name w:val="xl65"/>
    <w:basedOn w:val="1"/>
    <w:autoRedefine/>
    <w:qFormat/>
    <w:uiPriority w:val="0"/>
    <w:pPr>
      <w:widowControl/>
      <w:pBdr>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90">
    <w:name w:val="正文（标记）"/>
    <w:basedOn w:val="1"/>
    <w:autoRedefine/>
    <w:qFormat/>
    <w:uiPriority w:val="0"/>
    <w:pPr>
      <w:tabs>
        <w:tab w:val="left" w:pos="900"/>
      </w:tabs>
      <w:spacing w:before="156" w:beforeLines="50" w:after="156" w:afterLines="50"/>
      <w:ind w:left="900" w:hanging="420"/>
    </w:pPr>
    <w:rPr>
      <w:sz w:val="24"/>
      <w:szCs w:val="24"/>
    </w:rPr>
  </w:style>
  <w:style w:type="paragraph" w:customStyle="1" w:styleId="91">
    <w:name w:val="xl54"/>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92">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4">
    <w:name w:val="Char Char1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95">
    <w:name w:val="font13"/>
    <w:basedOn w:val="1"/>
    <w:autoRedefine/>
    <w:qFormat/>
    <w:uiPriority w:val="0"/>
    <w:pPr>
      <w:widowControl/>
      <w:spacing w:before="100" w:beforeAutospacing="1" w:after="100" w:afterAutospacing="1"/>
      <w:jc w:val="left"/>
    </w:pPr>
    <w:rPr>
      <w:rFonts w:eastAsia="Arial Unicode MS"/>
      <w:i/>
      <w:iCs/>
      <w:color w:val="000000"/>
      <w:kern w:val="0"/>
      <w:szCs w:val="21"/>
    </w:rPr>
  </w:style>
  <w:style w:type="paragraph" w:customStyle="1" w:styleId="96">
    <w:name w:val="文档正文"/>
    <w:basedOn w:val="1"/>
    <w:autoRedefine/>
    <w:qFormat/>
    <w:uiPriority w:val="0"/>
    <w:pPr>
      <w:adjustRightInd w:val="0"/>
      <w:snapToGrid w:val="0"/>
      <w:spacing w:line="360" w:lineRule="atLeast"/>
      <w:ind w:firstLine="567"/>
      <w:jc w:val="left"/>
    </w:pPr>
    <w:rPr>
      <w:rFonts w:hint="eastAsia" w:ascii="宋体"/>
      <w:color w:val="000000"/>
      <w:kern w:val="0"/>
      <w:sz w:val="24"/>
    </w:rPr>
  </w:style>
  <w:style w:type="paragraph" w:customStyle="1" w:styleId="97">
    <w:name w:val="xl42"/>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98">
    <w:name w:val="批注框文本 Char Char"/>
    <w:basedOn w:val="1"/>
    <w:autoRedefine/>
    <w:qFormat/>
    <w:uiPriority w:val="0"/>
    <w:rPr>
      <w:sz w:val="18"/>
    </w:rPr>
  </w:style>
  <w:style w:type="paragraph" w:customStyle="1" w:styleId="99">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0">
    <w:name w:val="xl58"/>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01">
    <w:name w:val="样式 标题 2 + 段前: 1 行 段后: 1 行"/>
    <w:basedOn w:val="3"/>
    <w:autoRedefine/>
    <w:qFormat/>
    <w:uiPriority w:val="0"/>
    <w:pPr>
      <w:tabs>
        <w:tab w:val="left" w:pos="1296"/>
      </w:tabs>
      <w:autoSpaceDE/>
      <w:autoSpaceDN/>
      <w:adjustRightInd/>
      <w:spacing w:before="312" w:beforeLines="100" w:after="312" w:afterLines="100" w:line="360" w:lineRule="auto"/>
      <w:ind w:left="1296" w:hanging="576"/>
      <w:jc w:val="both"/>
    </w:pPr>
    <w:rPr>
      <w:rFonts w:cs="宋体"/>
      <w:bCs/>
      <w:spacing w:val="10"/>
      <w:kern w:val="2"/>
      <w:szCs w:val="30"/>
    </w:rPr>
  </w:style>
  <w:style w:type="paragraph" w:customStyle="1" w:styleId="102">
    <w:name w:val="xl3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olor w:val="FF0000"/>
      <w:kern w:val="0"/>
      <w:sz w:val="20"/>
    </w:rPr>
  </w:style>
  <w:style w:type="paragraph" w:customStyle="1" w:styleId="103">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4">
    <w:name w:val="正文缩进2"/>
    <w:basedOn w:val="12"/>
    <w:autoRedefine/>
    <w:qFormat/>
    <w:uiPriority w:val="0"/>
    <w:pPr>
      <w:tabs>
        <w:tab w:val="left" w:pos="420"/>
      </w:tabs>
      <w:spacing w:after="120" w:line="360" w:lineRule="auto"/>
      <w:ind w:left="420" w:hanging="420" w:firstLineChars="0"/>
    </w:pPr>
    <w:rPr>
      <w:sz w:val="24"/>
    </w:rPr>
  </w:style>
  <w:style w:type="paragraph" w:customStyle="1" w:styleId="105">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10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7">
    <w:name w:val="xl6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109">
    <w:name w:val="text5"/>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10">
    <w:name w:val="Char Char Char"/>
    <w:basedOn w:val="1"/>
    <w:autoRedefine/>
    <w:qFormat/>
    <w:uiPriority w:val="0"/>
    <w:rPr>
      <w:rFonts w:ascii="Tahoma" w:hAnsi="Tahoma"/>
      <w:sz w:val="24"/>
    </w:rPr>
  </w:style>
  <w:style w:type="paragraph" w:customStyle="1" w:styleId="111">
    <w:name w:val="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12">
    <w:name w:val="默认段落字体 Para Char Char Char Char Char Char Char Char Char1 Char Char Char Char Char Char Char"/>
    <w:basedOn w:val="1"/>
    <w:autoRedefine/>
    <w:qFormat/>
    <w:uiPriority w:val="0"/>
    <w:rPr>
      <w:b/>
      <w:bCs/>
      <w:sz w:val="36"/>
      <w:szCs w:val="32"/>
    </w:rPr>
  </w:style>
  <w:style w:type="paragraph" w:customStyle="1" w:styleId="113">
    <w:name w:val="font8"/>
    <w:basedOn w:val="1"/>
    <w:autoRedefine/>
    <w:qFormat/>
    <w:uiPriority w:val="0"/>
    <w:pPr>
      <w:widowControl/>
      <w:spacing w:before="100" w:beforeAutospacing="1" w:after="100" w:afterAutospacing="1"/>
      <w:jc w:val="left"/>
    </w:pPr>
    <w:rPr>
      <w:rFonts w:hint="eastAsia" w:ascii="宋体" w:hAnsi="宋体" w:cs="Arial Unicode MS"/>
      <w:color w:val="000000"/>
      <w:kern w:val="0"/>
      <w:sz w:val="20"/>
    </w:rPr>
  </w:style>
  <w:style w:type="paragraph" w:customStyle="1" w:styleId="114">
    <w:name w:val="正文（首行缩进）"/>
    <w:basedOn w:val="1"/>
    <w:autoRedefine/>
    <w:qFormat/>
    <w:uiPriority w:val="0"/>
    <w:pPr>
      <w:adjustRightInd w:val="0"/>
      <w:spacing w:line="360" w:lineRule="auto"/>
      <w:ind w:firstLine="200" w:firstLineChars="200"/>
      <w:textAlignment w:val="baseline"/>
    </w:pPr>
    <w:rPr>
      <w:rFonts w:eastAsia="仿宋_GB2312"/>
      <w:sz w:val="24"/>
    </w:rPr>
  </w:style>
  <w:style w:type="paragraph" w:customStyle="1" w:styleId="115">
    <w:name w:val="Char1"/>
    <w:basedOn w:val="1"/>
    <w:autoRedefine/>
    <w:qFormat/>
    <w:uiPriority w:val="0"/>
    <w:pPr>
      <w:tabs>
        <w:tab w:val="left" w:pos="420"/>
      </w:tabs>
      <w:ind w:left="420" w:hanging="420"/>
    </w:pPr>
    <w:rPr>
      <w:rFonts w:ascii="Tahoma" w:hAnsi="Tahoma" w:cs="Tahoma"/>
      <w:sz w:val="28"/>
      <w:szCs w:val="28"/>
    </w:rPr>
  </w:style>
  <w:style w:type="paragraph" w:customStyle="1" w:styleId="116">
    <w:name w:val="xl3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117">
    <w:name w:val="xl43"/>
    <w:basedOn w:val="1"/>
    <w:autoRedefine/>
    <w:qFormat/>
    <w:uiPriority w:val="0"/>
    <w:pPr>
      <w:widowControl/>
      <w:pBdr>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0"/>
    </w:rPr>
  </w:style>
  <w:style w:type="paragraph" w:customStyle="1" w:styleId="118">
    <w:name w:val="xl2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rPr>
  </w:style>
  <w:style w:type="paragraph" w:customStyle="1" w:styleId="119">
    <w:name w:val="正文（标记） Char"/>
    <w:basedOn w:val="1"/>
    <w:autoRedefine/>
    <w:qFormat/>
    <w:uiPriority w:val="0"/>
    <w:pPr>
      <w:tabs>
        <w:tab w:val="left" w:pos="840"/>
      </w:tabs>
      <w:spacing w:before="156" w:beforeLines="50" w:after="156" w:afterLines="50"/>
      <w:ind w:left="840" w:hanging="420"/>
    </w:pPr>
    <w:rPr>
      <w:sz w:val="24"/>
      <w:szCs w:val="24"/>
    </w:rPr>
  </w:style>
  <w:style w:type="paragraph" w:customStyle="1" w:styleId="120">
    <w:name w:val="xl4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0"/>
    </w:rPr>
  </w:style>
  <w:style w:type="paragraph" w:customStyle="1" w:styleId="121">
    <w:name w:val="font7"/>
    <w:basedOn w:val="1"/>
    <w:autoRedefine/>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122">
    <w:name w:val="List Paragraph1"/>
    <w:basedOn w:val="1"/>
    <w:autoRedefine/>
    <w:qFormat/>
    <w:uiPriority w:val="0"/>
    <w:pPr>
      <w:ind w:firstLine="420" w:firstLineChars="200"/>
    </w:pPr>
    <w:rPr>
      <w:rFonts w:ascii="Calibri" w:hAnsi="Calibri"/>
      <w:szCs w:val="22"/>
    </w:rPr>
  </w:style>
  <w:style w:type="paragraph" w:customStyle="1" w:styleId="123">
    <w:name w:val="prop1"/>
    <w:basedOn w:val="5"/>
    <w:autoRedefine/>
    <w:qFormat/>
    <w:uiPriority w:val="0"/>
    <w:pPr>
      <w:numPr>
        <w:ilvl w:val="0"/>
        <w:numId w:val="3"/>
      </w:numPr>
      <w:spacing w:line="360" w:lineRule="auto"/>
    </w:pPr>
    <w:rPr>
      <w:bCs w:val="0"/>
      <w:szCs w:val="20"/>
    </w:rPr>
  </w:style>
  <w:style w:type="paragraph" w:customStyle="1" w:styleId="124">
    <w:name w:val="font15"/>
    <w:basedOn w:val="1"/>
    <w:autoRedefine/>
    <w:qFormat/>
    <w:uiPriority w:val="0"/>
    <w:pPr>
      <w:widowControl/>
      <w:spacing w:before="100" w:beforeAutospacing="1" w:after="100" w:afterAutospacing="1"/>
      <w:jc w:val="left"/>
    </w:pPr>
    <w:rPr>
      <w:rFonts w:hint="eastAsia" w:ascii="宋体" w:hAnsi="宋体" w:cs="Arial Unicode MS"/>
      <w:i/>
      <w:iCs/>
      <w:kern w:val="0"/>
      <w:szCs w:val="21"/>
    </w:rPr>
  </w:style>
  <w:style w:type="paragraph" w:customStyle="1" w:styleId="125">
    <w:name w:val="xl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126">
    <w:name w:val="xl4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127">
    <w:name w:val="正文2"/>
    <w:basedOn w:val="1"/>
    <w:autoRedefine/>
    <w:qFormat/>
    <w:uiPriority w:val="0"/>
    <w:pPr>
      <w:tabs>
        <w:tab w:val="left" w:pos="900"/>
      </w:tabs>
      <w:spacing w:line="360" w:lineRule="auto"/>
      <w:ind w:firstLine="480" w:firstLineChars="200"/>
    </w:pPr>
    <w:rPr>
      <w:rFonts w:ascii="宋体"/>
      <w:color w:val="000000"/>
      <w:sz w:val="24"/>
    </w:rPr>
  </w:style>
  <w:style w:type="paragraph" w:customStyle="1" w:styleId="128">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29">
    <w:name w:val="font12"/>
    <w:basedOn w:val="1"/>
    <w:autoRedefine/>
    <w:qFormat/>
    <w:uiPriority w:val="0"/>
    <w:pPr>
      <w:widowControl/>
      <w:spacing w:before="100" w:beforeAutospacing="1" w:after="100" w:afterAutospacing="1"/>
      <w:jc w:val="left"/>
    </w:pPr>
    <w:rPr>
      <w:rFonts w:eastAsia="Arial Unicode MS"/>
      <w:color w:val="000000"/>
      <w:kern w:val="0"/>
      <w:szCs w:val="21"/>
    </w:rPr>
  </w:style>
  <w:style w:type="paragraph" w:customStyle="1" w:styleId="130">
    <w:name w:val="xl63"/>
    <w:basedOn w:val="1"/>
    <w:autoRedefine/>
    <w:qFormat/>
    <w:uiPriority w:val="0"/>
    <w:pPr>
      <w:widowControl/>
      <w:pBdr>
        <w:top w:val="single" w:color="auto" w:sz="8" w:space="0"/>
        <w:left w:val="single" w:color="auto" w:sz="4"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kern w:val="0"/>
      <w:sz w:val="20"/>
    </w:rPr>
  </w:style>
  <w:style w:type="paragraph" w:customStyle="1" w:styleId="131">
    <w:name w:val="xl4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2">
    <w:name w:val="my正文"/>
    <w:basedOn w:val="18"/>
    <w:autoRedefine/>
    <w:qFormat/>
    <w:uiPriority w:val="0"/>
    <w:pPr>
      <w:adjustRightInd w:val="0"/>
      <w:snapToGrid/>
      <w:spacing w:line="360" w:lineRule="auto"/>
      <w:ind w:firstLine="225" w:firstLineChars="225"/>
      <w:textAlignment w:val="baseline"/>
    </w:pPr>
    <w:rPr>
      <w:rFonts w:hint="eastAsia" w:ascii="宋体"/>
      <w:sz w:val="24"/>
    </w:rPr>
  </w:style>
  <w:style w:type="paragraph" w:customStyle="1" w:styleId="133">
    <w:name w:val="xl3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134">
    <w:name w:val="xl52"/>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5">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6">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7">
    <w:name w:val="xl60"/>
    <w:basedOn w:val="1"/>
    <w:autoRedefine/>
    <w:qFormat/>
    <w:uiPriority w:val="0"/>
    <w:pPr>
      <w:widowControl/>
      <w:pBdr>
        <w:top w:val="single" w:color="auto" w:sz="4"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138">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9">
    <w:name w:val="正文1"/>
    <w:autoRedefine/>
    <w:qFormat/>
    <w:uiPriority w:val="0"/>
    <w:pPr>
      <w:adjustRightInd w:val="0"/>
      <w:jc w:val="center"/>
      <w:textAlignment w:val="baseline"/>
    </w:pPr>
    <w:rPr>
      <w:rFonts w:ascii="Times New Roman" w:hAnsi="Times New Roman" w:eastAsia="宋体" w:cs="Times New Roman"/>
      <w:kern w:val="28"/>
      <w:sz w:val="21"/>
      <w:lang w:val="en-US" w:eastAsia="zh-CN" w:bidi="ar-SA"/>
    </w:rPr>
  </w:style>
  <w:style w:type="paragraph" w:customStyle="1" w:styleId="140">
    <w:name w:val="Char1 Char Char"/>
    <w:basedOn w:val="1"/>
    <w:autoRedefine/>
    <w:qFormat/>
    <w:uiPriority w:val="0"/>
    <w:pPr>
      <w:tabs>
        <w:tab w:val="left" w:pos="420"/>
      </w:tabs>
      <w:ind w:left="420" w:hanging="420"/>
    </w:pPr>
    <w:rPr>
      <w:rFonts w:ascii="Tahoma" w:hAnsi="Tahoma" w:cs="Tahoma"/>
      <w:sz w:val="28"/>
      <w:szCs w:val="28"/>
    </w:rPr>
  </w:style>
  <w:style w:type="paragraph" w:customStyle="1" w:styleId="141">
    <w:name w:val="xl48"/>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4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43">
    <w:name w:val="Char"/>
    <w:basedOn w:val="1"/>
    <w:autoRedefine/>
    <w:qFormat/>
    <w:uiPriority w:val="0"/>
    <w:pPr>
      <w:tabs>
        <w:tab w:val="left" w:pos="360"/>
      </w:tabs>
      <w:ind w:left="360" w:hanging="360" w:hangingChars="200"/>
    </w:pPr>
    <w:rPr>
      <w:sz w:val="24"/>
      <w:szCs w:val="24"/>
    </w:rPr>
  </w:style>
  <w:style w:type="paragraph" w:customStyle="1" w:styleId="144">
    <w:name w:val="Char Char Char Char1"/>
    <w:basedOn w:val="1"/>
    <w:autoRedefine/>
    <w:qFormat/>
    <w:uiPriority w:val="0"/>
    <w:pPr>
      <w:tabs>
        <w:tab w:val="left" w:pos="420"/>
      </w:tabs>
      <w:ind w:left="420" w:hanging="420"/>
    </w:pPr>
    <w:rPr>
      <w:rFonts w:ascii="Tahoma" w:hAnsi="Tahoma" w:cs="Tahoma"/>
      <w:sz w:val="28"/>
      <w:szCs w:val="28"/>
    </w:rPr>
  </w:style>
  <w:style w:type="paragraph" w:customStyle="1" w:styleId="145">
    <w:name w:val="题目项目"/>
    <w:basedOn w:val="1"/>
    <w:autoRedefine/>
    <w:qFormat/>
    <w:uiPriority w:val="0"/>
    <w:pPr>
      <w:numPr>
        <w:ilvl w:val="0"/>
        <w:numId w:val="4"/>
      </w:numPr>
      <w:tabs>
        <w:tab w:val="left" w:pos="885"/>
        <w:tab w:val="clear" w:pos="502"/>
      </w:tabs>
      <w:spacing w:before="312" w:after="156"/>
    </w:pPr>
  </w:style>
  <w:style w:type="paragraph" w:customStyle="1" w:styleId="146">
    <w:name w:val="xl2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20"/>
    </w:rPr>
  </w:style>
  <w:style w:type="paragraph" w:customStyle="1" w:styleId="147">
    <w:name w:val="样式 仿宋_GB2312 行距: 1.5 倍行距"/>
    <w:basedOn w:val="1"/>
    <w:autoRedefine/>
    <w:qFormat/>
    <w:uiPriority w:val="0"/>
    <w:pPr>
      <w:adjustRightInd w:val="0"/>
      <w:snapToGrid w:val="0"/>
      <w:spacing w:line="520" w:lineRule="exact"/>
      <w:ind w:firstLine="560" w:firstLineChars="200"/>
    </w:pPr>
    <w:rPr>
      <w:rFonts w:eastAsia="仿宋_GB2312"/>
      <w:sz w:val="28"/>
    </w:rPr>
  </w:style>
  <w:style w:type="paragraph" w:styleId="148">
    <w:name w:val="List Paragraph"/>
    <w:basedOn w:val="1"/>
    <w:autoRedefine/>
    <w:qFormat/>
    <w:uiPriority w:val="99"/>
    <w:pPr>
      <w:ind w:firstLine="420" w:firstLineChars="200"/>
    </w:pPr>
  </w:style>
  <w:style w:type="character" w:customStyle="1" w:styleId="149">
    <w:name w:val="标题 1 字符"/>
    <w:autoRedefine/>
    <w:qFormat/>
    <w:uiPriority w:val="0"/>
    <w:rPr>
      <w:rFonts w:ascii="宋体" w:hAnsi="宋体" w:eastAsia="宋体"/>
      <w:b/>
      <w:kern w:val="44"/>
      <w:sz w:val="24"/>
    </w:rPr>
  </w:style>
  <w:style w:type="character" w:customStyle="1" w:styleId="150">
    <w:name w:val="标题 2 字符"/>
    <w:link w:val="3"/>
    <w:autoRedefine/>
    <w:qFormat/>
    <w:uiPriority w:val="0"/>
    <w:rPr>
      <w:rFonts w:ascii="Arial" w:hAnsi="Arial" w:eastAsia="黑体"/>
      <w:b/>
      <w:sz w:val="30"/>
      <w:lang w:val="en-US" w:eastAsia="zh-CN" w:bidi="ar-SA"/>
    </w:rPr>
  </w:style>
  <w:style w:type="character" w:customStyle="1" w:styleId="151">
    <w:name w:val="标题 4 字符"/>
    <w:link w:val="5"/>
    <w:autoRedefine/>
    <w:qFormat/>
    <w:uiPriority w:val="0"/>
    <w:rPr>
      <w:rFonts w:ascii="Arial" w:hAnsi="Arial" w:eastAsia="黑体"/>
      <w:b/>
      <w:bCs/>
      <w:kern w:val="2"/>
      <w:sz w:val="28"/>
      <w:szCs w:val="28"/>
      <w:lang w:val="en-US" w:eastAsia="zh-CN" w:bidi="ar-SA"/>
    </w:rPr>
  </w:style>
  <w:style w:type="character" w:customStyle="1" w:styleId="152">
    <w:name w:val="my正文 Char"/>
    <w:autoRedefine/>
    <w:qFormat/>
    <w:uiPriority w:val="0"/>
    <w:rPr>
      <w:rFonts w:hint="eastAsia" w:ascii="宋体" w:eastAsia="宋体"/>
      <w:sz w:val="24"/>
      <w:lang w:val="en-US" w:eastAsia="zh-CN"/>
    </w:rPr>
  </w:style>
  <w:style w:type="character" w:customStyle="1" w:styleId="153">
    <w:name w:val="页脚 字符"/>
    <w:link w:val="26"/>
    <w:autoRedefine/>
    <w:qFormat/>
    <w:uiPriority w:val="0"/>
    <w:rPr>
      <w:rFonts w:eastAsia="宋体"/>
      <w:sz w:val="18"/>
      <w:lang w:val="en-US" w:eastAsia="zh-CN" w:bidi="ar-SA"/>
    </w:rPr>
  </w:style>
  <w:style w:type="character" w:customStyle="1" w:styleId="154">
    <w:name w:val="正文（缩进） Char Char"/>
    <w:link w:val="54"/>
    <w:autoRedefine/>
    <w:qFormat/>
    <w:uiPriority w:val="0"/>
    <w:rPr>
      <w:rFonts w:eastAsia="宋体"/>
      <w:kern w:val="2"/>
      <w:sz w:val="24"/>
      <w:szCs w:val="24"/>
      <w:lang w:val="en-US" w:eastAsia="zh-CN" w:bidi="ar-SA"/>
    </w:rPr>
  </w:style>
  <w:style w:type="character" w:customStyle="1" w:styleId="155">
    <w:name w:val="标题2 Char"/>
    <w:autoRedefine/>
    <w:qFormat/>
    <w:uiPriority w:val="0"/>
    <w:rPr>
      <w:rFonts w:ascii="Arial" w:hAnsi="Arial" w:eastAsia="黑体"/>
      <w:b/>
      <w:sz w:val="28"/>
      <w:szCs w:val="28"/>
      <w:lang w:val="en-US" w:eastAsia="zh-CN" w:bidi="ar-SA"/>
    </w:rPr>
  </w:style>
  <w:style w:type="character" w:customStyle="1" w:styleId="156">
    <w:name w:val="标题 1 Char"/>
    <w:autoRedefine/>
    <w:qFormat/>
    <w:uiPriority w:val="0"/>
    <w:rPr>
      <w:rFonts w:ascii="Arial" w:hAnsi="Arial" w:eastAsia="黑体" w:cs="Arial"/>
      <w:bCs/>
      <w:color w:val="000000"/>
      <w:sz w:val="36"/>
      <w:szCs w:val="30"/>
      <w:lang w:val="en-US" w:eastAsia="zh-CN" w:bidi="ar-SA"/>
    </w:rPr>
  </w:style>
  <w:style w:type="character" w:customStyle="1" w:styleId="157">
    <w:name w:val="p12"/>
    <w:basedOn w:val="46"/>
    <w:autoRedefine/>
    <w:qFormat/>
    <w:uiPriority w:val="0"/>
  </w:style>
  <w:style w:type="character" w:customStyle="1" w:styleId="158">
    <w:name w:val="正文缩进 字符"/>
    <w:link w:val="12"/>
    <w:autoRedefine/>
    <w:qFormat/>
    <w:uiPriority w:val="0"/>
    <w:rPr>
      <w:rFonts w:eastAsia="宋体"/>
      <w:kern w:val="2"/>
      <w:sz w:val="21"/>
      <w:lang w:val="en-US" w:eastAsia="zh-CN" w:bidi="ar-SA"/>
    </w:rPr>
  </w:style>
  <w:style w:type="character" w:customStyle="1" w:styleId="159">
    <w:name w:val="正文（缩进） Char1"/>
    <w:link w:val="55"/>
    <w:autoRedefine/>
    <w:qFormat/>
    <w:uiPriority w:val="0"/>
    <w:rPr>
      <w:rFonts w:eastAsia="宋体"/>
      <w:kern w:val="2"/>
      <w:sz w:val="24"/>
      <w:szCs w:val="24"/>
      <w:lang w:val="en-US" w:eastAsia="zh-CN" w:bidi="ar-SA"/>
    </w:rPr>
  </w:style>
  <w:style w:type="character" w:customStyle="1" w:styleId="160">
    <w:name w:val="f101"/>
    <w:autoRedefine/>
    <w:qFormat/>
    <w:uiPriority w:val="0"/>
    <w:rPr>
      <w:sz w:val="21"/>
      <w:szCs w:val="21"/>
    </w:rPr>
  </w:style>
  <w:style w:type="character" w:customStyle="1" w:styleId="161">
    <w:name w:val="纯文本 字符"/>
    <w:link w:val="21"/>
    <w:autoRedefine/>
    <w:qFormat/>
    <w:uiPriority w:val="0"/>
    <w:rPr>
      <w:rFonts w:ascii="宋体" w:hAnsi="Courier New" w:eastAsia="宋体"/>
      <w:kern w:val="2"/>
      <w:sz w:val="21"/>
      <w:lang w:val="en-US" w:eastAsia="zh-CN" w:bidi="ar-SA"/>
    </w:rPr>
  </w:style>
  <w:style w:type="character" w:customStyle="1" w:styleId="162">
    <w:name w:val="正文文本缩进 字符"/>
    <w:link w:val="18"/>
    <w:autoRedefine/>
    <w:qFormat/>
    <w:uiPriority w:val="0"/>
    <w:rPr>
      <w:rFonts w:eastAsia="仿宋_GB2312"/>
      <w:kern w:val="2"/>
      <w:sz w:val="28"/>
    </w:rPr>
  </w:style>
  <w:style w:type="character" w:customStyle="1" w:styleId="163">
    <w:name w:val="Text Char Char Char"/>
    <w:link w:val="56"/>
    <w:autoRedefine/>
    <w:qFormat/>
    <w:uiPriority w:val="0"/>
    <w:rPr>
      <w:rFonts w:eastAsia="宋体"/>
      <w:sz w:val="24"/>
      <w:lang w:val="en-US" w:eastAsia="en-US" w:bidi="ar-SA"/>
    </w:rPr>
  </w:style>
  <w:style w:type="paragraph" w:customStyle="1" w:styleId="164">
    <w:name w:val="WPSOffice手动目录 1"/>
    <w:autoRedefine/>
    <w:qFormat/>
    <w:uiPriority w:val="0"/>
    <w:rPr>
      <w:rFonts w:ascii="Times New Roman" w:hAnsi="Times New Roman" w:eastAsia="宋体" w:cs="Times New Roman"/>
      <w:lang w:val="en-US" w:eastAsia="zh-CN" w:bidi="ar-SA"/>
    </w:rPr>
  </w:style>
  <w:style w:type="character" w:customStyle="1" w:styleId="165">
    <w:name w:val="标题 1 字符1"/>
    <w:link w:val="2"/>
    <w:autoRedefine/>
    <w:qFormat/>
    <w:uiPriority w:val="0"/>
    <w:rPr>
      <w:rFonts w:ascii="宋体"/>
      <w:b/>
      <w:kern w:val="44"/>
      <w:sz w:val="32"/>
      <w:szCs w:val="20"/>
    </w:rPr>
  </w:style>
  <w:style w:type="character" w:customStyle="1" w:styleId="166">
    <w:name w:val="标题 3 字符"/>
    <w:link w:val="4"/>
    <w:autoRedefine/>
    <w:qFormat/>
    <w:uiPriority w:val="0"/>
    <w:rPr>
      <w:b/>
      <w:sz w:val="32"/>
    </w:rPr>
  </w:style>
  <w:style w:type="paragraph" w:customStyle="1" w:styleId="167">
    <w:name w:val="无间隔1"/>
    <w:qFormat/>
    <w:uiPriority w:val="1"/>
    <w:pPr>
      <w:widowControl w:val="0"/>
      <w:spacing w:line="380" w:lineRule="exact"/>
      <w:jc w:val="both"/>
    </w:pPr>
    <w:rPr>
      <w:rFonts w:ascii="Arial" w:hAnsi="Arial" w:eastAsia="仿宋_GB2312" w:cs="Times New Roman"/>
      <w:kern w:val="2"/>
      <w:sz w:val="28"/>
      <w:szCs w:val="24"/>
      <w:lang w:val="en-US" w:eastAsia="zh-CN" w:bidi="ar-SA"/>
    </w:rPr>
  </w:style>
  <w:style w:type="paragraph" w:customStyle="1" w:styleId="168">
    <w:name w:val="Table Paragraph"/>
    <w:basedOn w:val="1"/>
    <w:qFormat/>
    <w:uiPriority w:val="0"/>
  </w:style>
  <w:style w:type="paragraph" w:customStyle="1" w:styleId="169">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170">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业务二处</Company>
  <Pages>7</Pages>
  <Words>16878</Words>
  <Characters>17884</Characters>
  <Lines>1184</Lines>
  <Paragraphs>1084</Paragraphs>
  <TotalTime>7</TotalTime>
  <ScaleCrop>false</ScaleCrop>
  <LinksUpToDate>false</LinksUpToDate>
  <CharactersWithSpaces>18597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2026-03-03T14:09:00Z</dcterms:created>
  <dc:creator>yangxiaojing</dc:creator>
  <cp:lastModifiedBy>代理机构</cp:lastModifiedBy>
  <cp:lastPrinted>2014-11-19T02:27:00Z</cp:lastPrinted>
  <dcterms:modified xsi:type="dcterms:W3CDTF">2026-03-11T03:36:22Z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KSOProductBuildVer">
    <vt:lpwstr>2052-12.1.0.20784</vt:lpwstr>
  </property>
  <property fmtid="{D5CDD505-2E9C-101B-9397-08002B2CF9AE}" pid="4" name="ICV">
    <vt:lpwstr>8BB3EA9860A84E0B83001580602800CC</vt:lpwstr>
  </property>
  <property fmtid="{D5CDD505-2E9C-101B-9397-08002B2CF9AE}" pid="5" name="KSOTemplateDocerSaveRecord">
    <vt:lpwstr>eyJoZGlkIjoiOGY2MzUxMDFlNGI3NWJiMjVjOTI5MDdlOTdmYjRmMzYiLCJ1c2VySWQiOiIxNjgwMzg0NjU1In0=</vt:lpwstr>
  </property>
</Properties>
</file>