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12784">
      <w:pPr>
        <w:pStyle w:val="2"/>
        <w:jc w:val="center"/>
        <w:rPr>
          <w:rFonts w:hint="eastAsia"/>
        </w:rPr>
      </w:pPr>
      <w:r>
        <w:rPr>
          <w:rFonts w:hint="eastAsia"/>
        </w:rPr>
        <w:t>采购需求</w:t>
      </w:r>
    </w:p>
    <w:p w14:paraId="294EA9DC">
      <w:pPr>
        <w:pStyle w:val="2"/>
        <w:numPr>
          <w:ilvl w:val="0"/>
          <w:numId w:val="2"/>
        </w:numPr>
        <w:rPr>
          <w:rFonts w:hint="eastAsia" w:ascii="宋体" w:hAnsi="宋体" w:cs="宋体"/>
          <w:sz w:val="24"/>
          <w:szCs w:val="24"/>
        </w:rPr>
      </w:pPr>
      <w:r>
        <w:rPr>
          <w:rFonts w:hint="eastAsia" w:ascii="宋体" w:hAnsi="宋体" w:cs="宋体"/>
          <w:sz w:val="24"/>
          <w:szCs w:val="24"/>
        </w:rPr>
        <w:t>项目背景</w:t>
      </w:r>
    </w:p>
    <w:p w14:paraId="7968C9BB">
      <w:pPr>
        <w:ind w:firstLine="480" w:firstLineChars="200"/>
        <w:rPr>
          <w:rFonts w:hint="eastAsia" w:ascii="宋体" w:hAnsi="宋体" w:cs="宋体"/>
        </w:rPr>
      </w:pPr>
      <w:r>
        <w:rPr>
          <w:rFonts w:hint="eastAsia" w:ascii="宋体" w:hAnsi="宋体" w:cs="宋体"/>
        </w:rPr>
        <w:t>首都博物馆微信公众号是首都博物馆对外宣传的重要窗口，自面向公众上线以来，将博物馆与观众紧密相连，实现了信息的双向互通，打造了“逛·展览、享·服务、爱·参与”三个栏目，直观、广泛、便捷地向公众传播了馆藏文物所承载的中华文明，同时提供预约服务、阅读典籍、首博文创等服务。</w:t>
      </w:r>
    </w:p>
    <w:p w14:paraId="3871E3E8">
      <w:pPr>
        <w:ind w:firstLine="480" w:firstLineChars="200"/>
        <w:rPr>
          <w:rFonts w:hint="eastAsia" w:ascii="宋体" w:hAnsi="宋体" w:cs="宋体"/>
        </w:rPr>
      </w:pPr>
      <w:r>
        <w:rPr>
          <w:rFonts w:hint="eastAsia" w:ascii="宋体" w:hAnsi="宋体" w:cs="宋体"/>
        </w:rPr>
        <w:t>首都博物馆秉承服务观众的核心理念，树立首博品牌，铸就精品服务。为了进一步提升观众服务的品质和便利性，我馆将持续发挥微信新媒体平台的宣传及服务效应，面向观众继续提供“最新展览、馆藏精品、全景欣赏、云上首博、预约服务、阅读典籍、首博文创、星守计划、约·活动、约·讲座、征·文物”一系列服务栏目。为保障微信端服务稳定运行，进一步提升票务终端服务便捷性及对相关服务进行持续优化，对微信公众号基础服务进行升级调整，增加与线上支付购票服务对接，优化业务处理流程，提升观众使用体验，增加系统缓存处理能力，同时增强安全风控服务，有效防止“黄牛”抢占票务资源，利用技术手段实现系统自动化识别“黄牛”行为，及时禁止其非法操作，保证预约服务环境的公平公正。</w:t>
      </w:r>
    </w:p>
    <w:p w14:paraId="54710FCB">
      <w:pPr>
        <w:pStyle w:val="2"/>
        <w:numPr>
          <w:ilvl w:val="0"/>
          <w:numId w:val="2"/>
        </w:numPr>
        <w:rPr>
          <w:rFonts w:hint="eastAsia" w:ascii="宋体" w:hAnsi="宋体" w:cs="宋体"/>
          <w:sz w:val="24"/>
          <w:szCs w:val="24"/>
        </w:rPr>
      </w:pPr>
      <w:r>
        <w:rPr>
          <w:rFonts w:hint="eastAsia" w:ascii="宋体" w:hAnsi="宋体" w:cs="宋体"/>
          <w:sz w:val="24"/>
          <w:szCs w:val="24"/>
        </w:rPr>
        <w:t>采购清单</w:t>
      </w:r>
    </w:p>
    <w:p w14:paraId="665A9B00">
      <w:pPr>
        <w:rPr>
          <w:rFonts w:hint="eastAsia" w:ascii="宋体" w:hAnsi="宋体" w:cs="宋体"/>
        </w:rPr>
      </w:pPr>
      <w:bookmarkStart w:id="1" w:name="_GoBack"/>
      <w:bookmarkEnd w:id="1"/>
    </w:p>
    <w:tbl>
      <w:tblPr>
        <w:tblStyle w:val="10"/>
        <w:tblW w:w="7817" w:type="dxa"/>
        <w:jc w:val="center"/>
        <w:tblLayout w:type="autofit"/>
        <w:tblCellMar>
          <w:top w:w="0" w:type="dxa"/>
          <w:left w:w="108" w:type="dxa"/>
          <w:bottom w:w="0" w:type="dxa"/>
          <w:right w:w="108" w:type="dxa"/>
        </w:tblCellMar>
      </w:tblPr>
      <w:tblGrid>
        <w:gridCol w:w="996"/>
        <w:gridCol w:w="4026"/>
        <w:gridCol w:w="1401"/>
        <w:gridCol w:w="1394"/>
      </w:tblGrid>
      <w:tr w14:paraId="2AB3A27C">
        <w:tblPrEx>
          <w:tblCellMar>
            <w:top w:w="0" w:type="dxa"/>
            <w:left w:w="108" w:type="dxa"/>
            <w:bottom w:w="0" w:type="dxa"/>
            <w:right w:w="108" w:type="dxa"/>
          </w:tblCellMar>
        </w:tblPrEx>
        <w:trPr>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0A52663">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序号</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4B0258A">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名称</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6B572243">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单位</w:t>
            </w:r>
          </w:p>
        </w:tc>
        <w:tc>
          <w:tcPr>
            <w:tcW w:w="1394" w:type="dxa"/>
            <w:tcBorders>
              <w:top w:val="single" w:color="000000" w:sz="4" w:space="0"/>
              <w:left w:val="single" w:color="000000" w:sz="4" w:space="0"/>
              <w:bottom w:val="single" w:color="000000" w:sz="4" w:space="0"/>
              <w:right w:val="single" w:color="000000" w:sz="4" w:space="0"/>
            </w:tcBorders>
            <w:noWrap/>
            <w:vAlign w:val="center"/>
          </w:tcPr>
          <w:p w14:paraId="371AC22E">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数量</w:t>
            </w:r>
          </w:p>
        </w:tc>
      </w:tr>
      <w:tr w14:paraId="167B5717">
        <w:tblPrEx>
          <w:tblCellMar>
            <w:top w:w="0" w:type="dxa"/>
            <w:left w:w="108" w:type="dxa"/>
            <w:bottom w:w="0" w:type="dxa"/>
            <w:right w:w="108" w:type="dxa"/>
          </w:tblCellMar>
        </w:tblPrEx>
        <w:trPr>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5B722F6">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D87EFAF">
            <w:pPr>
              <w:widowControl/>
              <w:jc w:val="center"/>
              <w:rPr>
                <w:rFonts w:hint="eastAsia" w:ascii="宋体" w:hAnsi="宋体" w:cs="宋体"/>
                <w:color w:val="000000"/>
              </w:rPr>
            </w:pPr>
            <w:r>
              <w:rPr>
                <w:rFonts w:hint="eastAsia" w:ascii="宋体" w:hAnsi="宋体" w:cs="宋体"/>
                <w:color w:val="000000"/>
                <w:kern w:val="0"/>
              </w:rPr>
              <w:t>全年度基础服务升级及调整</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0532B95">
            <w:pPr>
              <w:widowControl/>
              <w:jc w:val="center"/>
              <w:textAlignment w:val="center"/>
              <w:rPr>
                <w:rFonts w:hint="eastAsia" w:ascii="宋体" w:hAnsi="宋体" w:cs="宋体"/>
                <w:color w:val="000000"/>
              </w:rPr>
            </w:pPr>
            <w:r>
              <w:rPr>
                <w:rFonts w:hint="eastAsia" w:ascii="宋体" w:hAnsi="宋体" w:cs="宋体"/>
                <w:color w:val="000000"/>
                <w:kern w:val="0"/>
                <w:lang w:bidi="ar"/>
              </w:rPr>
              <w:t>项</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A252C58">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33BC3096">
        <w:tblPrEx>
          <w:tblCellMar>
            <w:top w:w="0" w:type="dxa"/>
            <w:left w:w="108" w:type="dxa"/>
            <w:bottom w:w="0" w:type="dxa"/>
            <w:right w:w="108" w:type="dxa"/>
          </w:tblCellMar>
        </w:tblPrEx>
        <w:trPr>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B0C630D">
            <w:pPr>
              <w:widowControl/>
              <w:jc w:val="center"/>
              <w:textAlignment w:val="center"/>
              <w:rPr>
                <w:rFonts w:hint="eastAsia" w:ascii="宋体" w:hAnsi="宋体" w:cs="宋体"/>
                <w:color w:val="000000"/>
                <w:kern w:val="0"/>
                <w:lang w:bidi="ar"/>
              </w:rPr>
            </w:pPr>
            <w:r>
              <w:rPr>
                <w:rFonts w:hint="eastAsia" w:ascii="宋体" w:hAnsi="宋体" w:cs="宋体"/>
                <w:color w:val="000000"/>
                <w:kern w:val="0"/>
                <w:lang w:bidi="ar"/>
              </w:rPr>
              <w:t>2</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D80DC7B">
            <w:pPr>
              <w:widowControl/>
              <w:jc w:val="center"/>
              <w:rPr>
                <w:rFonts w:hint="eastAsia" w:ascii="宋体" w:hAnsi="宋体" w:cs="宋体"/>
                <w:color w:val="000000"/>
                <w:kern w:val="0"/>
                <w:lang w:bidi="ar"/>
              </w:rPr>
            </w:pPr>
            <w:r>
              <w:rPr>
                <w:rFonts w:hint="eastAsia" w:ascii="宋体" w:hAnsi="宋体" w:cs="宋体"/>
                <w:color w:val="000000"/>
                <w:kern w:val="0"/>
              </w:rPr>
              <w:t>全年度安全风控服务</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EE9485F">
            <w:pPr>
              <w:widowControl/>
              <w:jc w:val="center"/>
              <w:textAlignment w:val="center"/>
              <w:rPr>
                <w:rFonts w:hint="eastAsia" w:ascii="宋体" w:hAnsi="宋体" w:cs="宋体"/>
                <w:color w:val="000000"/>
                <w:kern w:val="0"/>
                <w:lang w:bidi="ar"/>
              </w:rPr>
            </w:pPr>
            <w:r>
              <w:rPr>
                <w:rFonts w:hint="eastAsia" w:ascii="宋体" w:hAnsi="宋体" w:cs="宋体"/>
                <w:color w:val="000000"/>
                <w:kern w:val="0"/>
                <w:lang w:bidi="ar"/>
              </w:rPr>
              <w:t>项</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9AA959A">
            <w:pPr>
              <w:widowControl/>
              <w:jc w:val="center"/>
              <w:textAlignment w:val="center"/>
              <w:rPr>
                <w:rFonts w:hint="eastAsia" w:ascii="宋体" w:hAnsi="宋体" w:cs="宋体"/>
                <w:color w:val="000000"/>
                <w:kern w:val="0"/>
                <w:lang w:bidi="ar"/>
              </w:rPr>
            </w:pPr>
            <w:r>
              <w:rPr>
                <w:rFonts w:hint="eastAsia" w:ascii="宋体" w:hAnsi="宋体" w:cs="宋体"/>
                <w:color w:val="000000"/>
                <w:kern w:val="0"/>
                <w:lang w:bidi="ar"/>
              </w:rPr>
              <w:t>1</w:t>
            </w:r>
          </w:p>
        </w:tc>
      </w:tr>
      <w:tr w14:paraId="4F0FFC62">
        <w:tblPrEx>
          <w:tblCellMar>
            <w:top w:w="0" w:type="dxa"/>
            <w:left w:w="108" w:type="dxa"/>
            <w:bottom w:w="0" w:type="dxa"/>
            <w:right w:w="108" w:type="dxa"/>
          </w:tblCellMar>
        </w:tblPrEx>
        <w:trPr>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398CB79">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FA29D4D">
            <w:pPr>
              <w:widowControl/>
              <w:jc w:val="center"/>
              <w:rPr>
                <w:rFonts w:hint="eastAsia" w:ascii="宋体" w:hAnsi="宋体" w:cs="宋体"/>
                <w:color w:val="000000"/>
              </w:rPr>
            </w:pPr>
            <w:r>
              <w:rPr>
                <w:rFonts w:hint="eastAsia" w:ascii="宋体" w:hAnsi="宋体" w:cs="宋体"/>
                <w:color w:val="000000"/>
                <w:kern w:val="0"/>
              </w:rPr>
              <w:t>全年度微信托管云服务</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724CFD1">
            <w:pPr>
              <w:widowControl/>
              <w:jc w:val="center"/>
              <w:textAlignment w:val="center"/>
              <w:rPr>
                <w:rFonts w:hint="eastAsia" w:ascii="宋体" w:hAnsi="宋体" w:cs="宋体"/>
                <w:color w:val="000000"/>
              </w:rPr>
            </w:pPr>
            <w:r>
              <w:rPr>
                <w:rFonts w:hint="eastAsia" w:ascii="宋体" w:hAnsi="宋体" w:cs="宋体"/>
                <w:color w:val="000000"/>
                <w:kern w:val="0"/>
                <w:lang w:bidi="ar"/>
              </w:rPr>
              <w:t>项</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1C819BE">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2E7F7D74">
        <w:tblPrEx>
          <w:tblCellMar>
            <w:top w:w="0" w:type="dxa"/>
            <w:left w:w="108" w:type="dxa"/>
            <w:bottom w:w="0" w:type="dxa"/>
            <w:right w:w="108" w:type="dxa"/>
          </w:tblCellMar>
        </w:tblPrEx>
        <w:trPr>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637132E">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2C0441A">
            <w:pPr>
              <w:widowControl/>
              <w:jc w:val="center"/>
              <w:rPr>
                <w:rFonts w:hint="eastAsia" w:ascii="宋体" w:hAnsi="宋体" w:cs="宋体"/>
                <w:color w:val="000000"/>
              </w:rPr>
            </w:pPr>
            <w:r>
              <w:rPr>
                <w:rFonts w:hint="eastAsia" w:ascii="宋体" w:hAnsi="宋体" w:cs="宋体"/>
                <w:color w:val="000000"/>
                <w:kern w:val="0"/>
              </w:rPr>
              <w:t>全年度微信托管运维综合服务</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700324F">
            <w:pPr>
              <w:widowControl/>
              <w:jc w:val="center"/>
              <w:textAlignment w:val="center"/>
              <w:rPr>
                <w:rFonts w:hint="eastAsia" w:ascii="宋体" w:hAnsi="宋体" w:cs="宋体"/>
                <w:color w:val="000000"/>
              </w:rPr>
            </w:pPr>
            <w:r>
              <w:rPr>
                <w:rFonts w:hint="eastAsia" w:ascii="宋体" w:hAnsi="宋体" w:cs="宋体"/>
                <w:color w:val="000000"/>
              </w:rPr>
              <w:t>项</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2D3E609">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bl>
    <w:p w14:paraId="14B8D220">
      <w:pPr>
        <w:pStyle w:val="5"/>
        <w:rPr>
          <w:rFonts w:hint="eastAsia" w:ascii="宋体" w:hAnsi="宋体" w:cs="宋体"/>
        </w:rPr>
      </w:pPr>
    </w:p>
    <w:p w14:paraId="6A4E46A9">
      <w:pPr>
        <w:pStyle w:val="2"/>
        <w:numPr>
          <w:ilvl w:val="0"/>
          <w:numId w:val="2"/>
        </w:numPr>
        <w:rPr>
          <w:rFonts w:hint="eastAsia" w:ascii="宋体" w:hAnsi="宋体" w:cs="宋体"/>
          <w:sz w:val="24"/>
          <w:szCs w:val="24"/>
        </w:rPr>
      </w:pPr>
      <w:r>
        <w:rPr>
          <w:rFonts w:hint="eastAsia" w:ascii="宋体" w:hAnsi="宋体" w:cs="宋体"/>
          <w:sz w:val="24"/>
          <w:szCs w:val="24"/>
        </w:rPr>
        <w:t>采购说明</w:t>
      </w:r>
    </w:p>
    <w:p w14:paraId="7D5E7E5F">
      <w:pPr>
        <w:pStyle w:val="17"/>
        <w:numPr>
          <w:ilvl w:val="0"/>
          <w:numId w:val="3"/>
        </w:numPr>
        <w:ind w:firstLineChars="0"/>
        <w:rPr>
          <w:rFonts w:hint="eastAsia" w:ascii="宋体" w:hAnsi="宋体" w:cs="宋体"/>
        </w:rPr>
      </w:pPr>
      <w:r>
        <w:rPr>
          <w:rFonts w:hint="eastAsia" w:ascii="宋体" w:hAnsi="宋体" w:cs="宋体"/>
        </w:rPr>
        <w:t>如果采购需求中的技术及服务要求与遴选文件的其他部分不一致时，以本采购需求为准。</w:t>
      </w:r>
    </w:p>
    <w:p w14:paraId="3BC30F47">
      <w:pPr>
        <w:pStyle w:val="17"/>
        <w:numPr>
          <w:ilvl w:val="0"/>
          <w:numId w:val="3"/>
        </w:numPr>
        <w:ind w:firstLineChars="0"/>
        <w:rPr>
          <w:rFonts w:hint="eastAsia" w:ascii="宋体" w:hAnsi="宋体" w:cs="宋体"/>
        </w:rPr>
      </w:pPr>
      <w:r>
        <w:rPr>
          <w:rFonts w:hint="eastAsia" w:ascii="宋体" w:hAnsi="宋体" w:cs="宋体"/>
        </w:rPr>
        <w:t>本采购需求中所指的用户包括所采购货物、服务和工程的使用方、集成方、运行方、管理者。</w:t>
      </w:r>
    </w:p>
    <w:p w14:paraId="7AC9F9B9">
      <w:pPr>
        <w:pStyle w:val="17"/>
        <w:numPr>
          <w:ilvl w:val="0"/>
          <w:numId w:val="3"/>
        </w:numPr>
        <w:ind w:firstLineChars="0"/>
        <w:rPr>
          <w:rFonts w:hint="eastAsia" w:ascii="宋体" w:hAnsi="宋体" w:cs="宋体"/>
        </w:rPr>
      </w:pPr>
      <w:r>
        <w:rPr>
          <w:rFonts w:hint="eastAsia" w:ascii="宋体" w:hAnsi="宋体" w:cs="宋体"/>
        </w:rPr>
        <w:t>本采购项目不接受联合竞谈，未经采购人书面同意不得将项目转包、分包；</w:t>
      </w:r>
    </w:p>
    <w:p w14:paraId="73B8CD29">
      <w:pPr>
        <w:pStyle w:val="17"/>
        <w:numPr>
          <w:ilvl w:val="0"/>
          <w:numId w:val="3"/>
        </w:numPr>
        <w:ind w:firstLineChars="0"/>
        <w:rPr>
          <w:rFonts w:hint="eastAsia" w:ascii="宋体" w:hAnsi="宋体" w:cs="宋体"/>
        </w:rPr>
      </w:pPr>
      <w:r>
        <w:rPr>
          <w:rFonts w:hint="eastAsia" w:ascii="宋体" w:hAnsi="宋体" w:cs="宋体"/>
        </w:rPr>
        <w:t>供应商应诚实守信,保证响应文件真实有效,不得存在提供虚假证明材料、恶意低价等恶意竞标行为，否则将导致响应被拒绝。</w:t>
      </w:r>
    </w:p>
    <w:p w14:paraId="66906503">
      <w:pPr>
        <w:pStyle w:val="17"/>
        <w:numPr>
          <w:ilvl w:val="0"/>
          <w:numId w:val="3"/>
        </w:numPr>
        <w:ind w:firstLineChars="0"/>
        <w:rPr>
          <w:rFonts w:hint="eastAsia" w:ascii="宋体" w:hAnsi="宋体" w:cs="宋体"/>
        </w:rPr>
      </w:pPr>
      <w:r>
        <w:rPr>
          <w:rFonts w:hint="eastAsia" w:ascii="宋体" w:hAnsi="宋体" w:cs="宋体"/>
        </w:rPr>
        <w:t>供应商提供的货物和技术服务必须符合中华人民共和国相关法律法规和销售许可。</w:t>
      </w:r>
    </w:p>
    <w:p w14:paraId="041239C8">
      <w:pPr>
        <w:pStyle w:val="17"/>
        <w:numPr>
          <w:ilvl w:val="0"/>
          <w:numId w:val="3"/>
        </w:numPr>
        <w:ind w:firstLineChars="0"/>
        <w:rPr>
          <w:rFonts w:hint="eastAsia" w:ascii="宋体" w:hAnsi="宋体" w:cs="宋体"/>
        </w:rPr>
      </w:pPr>
      <w:r>
        <w:rPr>
          <w:rFonts w:hint="eastAsia" w:ascii="宋体" w:hAnsi="宋体" w:cs="宋体"/>
        </w:rPr>
        <w:t>供应商所提供的货物和服务，若发生侵犯专利权的行为时，其侵权责任与买方无关，应由供应商承担相应的责任，并不得损害买方的利益。</w:t>
      </w:r>
    </w:p>
    <w:p w14:paraId="534B616F">
      <w:pPr>
        <w:pStyle w:val="17"/>
        <w:numPr>
          <w:ilvl w:val="0"/>
          <w:numId w:val="3"/>
        </w:numPr>
        <w:ind w:firstLineChars="0"/>
        <w:rPr>
          <w:rFonts w:hint="eastAsia" w:ascii="宋体" w:hAnsi="宋体" w:cs="宋体"/>
        </w:rPr>
      </w:pPr>
      <w:r>
        <w:rPr>
          <w:rFonts w:hint="eastAsia" w:ascii="宋体" w:hAnsi="宋体" w:cs="宋体"/>
        </w:rPr>
        <w:t>本次采购产品为非进口产品。</w:t>
      </w:r>
    </w:p>
    <w:p w14:paraId="068F5F42">
      <w:pPr>
        <w:pStyle w:val="2"/>
        <w:numPr>
          <w:ilvl w:val="0"/>
          <w:numId w:val="2"/>
        </w:numPr>
        <w:rPr>
          <w:rFonts w:hint="eastAsia" w:ascii="宋体" w:hAnsi="宋体" w:cs="宋体"/>
          <w:sz w:val="24"/>
          <w:szCs w:val="24"/>
        </w:rPr>
      </w:pPr>
      <w:r>
        <w:rPr>
          <w:rFonts w:hint="eastAsia" w:ascii="宋体" w:hAnsi="宋体" w:cs="宋体"/>
          <w:sz w:val="24"/>
          <w:szCs w:val="24"/>
        </w:rPr>
        <w:t>服务内容及技术要求</w:t>
      </w:r>
    </w:p>
    <w:p w14:paraId="1647EDE9">
      <w:pPr>
        <w:pStyle w:val="3"/>
        <w:ind w:left="1276" w:hanging="709"/>
        <w:rPr>
          <w:rFonts w:hint="eastAsia" w:ascii="宋体" w:hAnsi="宋体" w:eastAsia="宋体" w:cs="宋体"/>
          <w:sz w:val="24"/>
          <w:szCs w:val="24"/>
        </w:rPr>
      </w:pPr>
      <w:r>
        <w:rPr>
          <w:rFonts w:hint="eastAsia" w:ascii="宋体" w:hAnsi="宋体" w:eastAsia="宋体" w:cs="宋体"/>
          <w:sz w:val="24"/>
          <w:szCs w:val="24"/>
        </w:rPr>
        <w:t>全年度基础服务升级及调整</w:t>
      </w:r>
    </w:p>
    <w:p w14:paraId="45C368D8">
      <w:pPr>
        <w:pStyle w:val="4"/>
        <w:tabs>
          <w:tab w:val="left" w:pos="567"/>
        </w:tabs>
        <w:rPr>
          <w:rFonts w:hint="eastAsia" w:ascii="宋体" w:hAnsi="宋体" w:cs="宋体"/>
          <w:sz w:val="24"/>
          <w:szCs w:val="24"/>
        </w:rPr>
      </w:pPr>
      <w:r>
        <w:rPr>
          <w:rFonts w:hint="eastAsia" w:ascii="宋体" w:hAnsi="宋体" w:cs="宋体"/>
          <w:sz w:val="24"/>
          <w:szCs w:val="24"/>
        </w:rPr>
        <w:t>可移动检票终端服务升级</w:t>
      </w:r>
    </w:p>
    <w:p w14:paraId="2C546C28">
      <w:pPr>
        <w:numPr>
          <w:ilvl w:val="0"/>
          <w:numId w:val="4"/>
        </w:numPr>
        <w:rPr>
          <w:rFonts w:hint="eastAsia" w:ascii="宋体" w:hAnsi="宋体" w:cs="宋体"/>
          <w:color w:val="000000"/>
          <w:shd w:val="clear" w:color="auto" w:fill="FDFDFE"/>
          <w:lang w:eastAsia="zh-Hans"/>
        </w:rPr>
      </w:pPr>
      <w:r>
        <w:rPr>
          <w:rFonts w:hint="eastAsia" w:ascii="宋体" w:hAnsi="宋体" w:cs="宋体"/>
          <w:color w:val="000000"/>
          <w:shd w:val="clear" w:color="auto" w:fill="FDFDFE"/>
        </w:rPr>
        <w:t>针对收费展览及活动，升级现有检票终端及后台程序的核验功能，实现观众通过线上购票后，移动终端核验设备现场</w:t>
      </w:r>
      <w:r>
        <w:rPr>
          <w:rFonts w:hint="eastAsia" w:ascii="宋体" w:hAnsi="宋体" w:cs="宋体"/>
          <w:color w:val="000000"/>
          <w:shd w:val="clear" w:color="auto" w:fill="FDFDFE"/>
          <w:lang w:eastAsia="zh-Hans"/>
        </w:rPr>
        <w:t>能快速、准确地验证观众身份与</w:t>
      </w:r>
      <w:r>
        <w:rPr>
          <w:rFonts w:hint="eastAsia" w:ascii="宋体" w:hAnsi="宋体" w:cs="宋体"/>
          <w:color w:val="000000"/>
          <w:shd w:val="clear" w:color="auto" w:fill="FDFDFE"/>
        </w:rPr>
        <w:t>订单</w:t>
      </w:r>
      <w:r>
        <w:rPr>
          <w:rFonts w:hint="eastAsia" w:ascii="宋体" w:hAnsi="宋体" w:cs="宋体"/>
          <w:color w:val="000000"/>
          <w:shd w:val="clear" w:color="auto" w:fill="FDFDFE"/>
          <w:lang w:eastAsia="zh-Hans"/>
        </w:rPr>
        <w:t>信息，简化现场</w:t>
      </w:r>
      <w:r>
        <w:rPr>
          <w:rFonts w:hint="eastAsia" w:ascii="宋体" w:hAnsi="宋体" w:cs="宋体"/>
          <w:color w:val="000000"/>
          <w:shd w:val="clear" w:color="auto" w:fill="FDFDFE"/>
        </w:rPr>
        <w:t>核验</w:t>
      </w:r>
      <w:r>
        <w:rPr>
          <w:rFonts w:hint="eastAsia" w:ascii="宋体" w:hAnsi="宋体" w:cs="宋体"/>
          <w:color w:val="000000"/>
          <w:shd w:val="clear" w:color="auto" w:fill="FDFDFE"/>
          <w:lang w:eastAsia="zh-Hans"/>
        </w:rPr>
        <w:t>流程，有效减少观众排队等待时间，从整体提升服务品质与运营管理效率。支持对单人票、亲子票、双人票、儿童票、团体收费票等票种类型的核验。</w:t>
      </w:r>
    </w:p>
    <w:p w14:paraId="1657E95D">
      <w:pPr>
        <w:numPr>
          <w:ilvl w:val="0"/>
          <w:numId w:val="4"/>
        </w:numPr>
        <w:rPr>
          <w:rFonts w:hint="eastAsia" w:ascii="宋体" w:hAnsi="宋体" w:cs="宋体"/>
          <w:color w:val="000000"/>
          <w:shd w:val="clear" w:color="auto" w:fill="FDFDFE"/>
          <w:lang w:eastAsia="zh-Hans"/>
        </w:rPr>
      </w:pPr>
      <w:r>
        <w:rPr>
          <w:rFonts w:hint="eastAsia" w:ascii="宋体" w:hAnsi="宋体" w:cs="宋体"/>
          <w:color w:val="0F1115"/>
          <w:shd w:val="clear" w:color="auto" w:fill="FFFFFF"/>
        </w:rPr>
        <w:t>对现有移动核验设备终端软件进行升级，实现对入场人流量的精准监控与实时感知，增加实时核验人数显示功能，能够动态统计并清晰展示通过该设备核验成功的累计人数，为现场工作人员的调度与管理提供关键数据支持。</w:t>
      </w:r>
    </w:p>
    <w:p w14:paraId="7BC06E97">
      <w:pPr>
        <w:pStyle w:val="4"/>
        <w:tabs>
          <w:tab w:val="left" w:pos="567"/>
        </w:tabs>
        <w:rPr>
          <w:rFonts w:hint="eastAsia" w:ascii="宋体" w:hAnsi="宋体" w:cs="宋体"/>
          <w:sz w:val="24"/>
          <w:szCs w:val="24"/>
        </w:rPr>
      </w:pPr>
      <w:r>
        <w:rPr>
          <w:rFonts w:hint="eastAsia" w:ascii="宋体" w:hAnsi="宋体" w:cs="宋体"/>
          <w:sz w:val="24"/>
          <w:szCs w:val="24"/>
        </w:rPr>
        <w:t>立式终端配置服务升级</w:t>
      </w:r>
    </w:p>
    <w:p w14:paraId="421D4463">
      <w:pPr>
        <w:numPr>
          <w:ilvl w:val="0"/>
          <w:numId w:val="4"/>
        </w:numPr>
        <w:rPr>
          <w:rFonts w:hint="eastAsia" w:ascii="宋体" w:hAnsi="宋体" w:cs="宋体"/>
          <w:color w:val="000000"/>
          <w:shd w:val="clear" w:color="auto" w:fill="FDFDFE"/>
          <w:lang w:eastAsia="zh-Hans"/>
        </w:rPr>
      </w:pPr>
      <w:bookmarkStart w:id="0" w:name="OLE_LINK1"/>
      <w:r>
        <w:rPr>
          <w:rFonts w:hint="eastAsia" w:ascii="宋体" w:hAnsi="宋体" w:cs="宋体"/>
          <w:color w:val="000000"/>
          <w:shd w:val="clear" w:color="auto" w:fill="FDFDFE"/>
        </w:rPr>
        <w:t>针对收费展览及活动，升级现有立式终端及后台程序核验功能，实现观众通过线上购票后，立式终端核验设备现场</w:t>
      </w:r>
      <w:r>
        <w:rPr>
          <w:rFonts w:hint="eastAsia" w:ascii="宋体" w:hAnsi="宋体" w:cs="宋体"/>
          <w:color w:val="000000"/>
          <w:shd w:val="clear" w:color="auto" w:fill="FDFDFE"/>
          <w:lang w:eastAsia="zh-Hans"/>
        </w:rPr>
        <w:t>能快速、准确地验证观众身份与</w:t>
      </w:r>
      <w:r>
        <w:rPr>
          <w:rFonts w:hint="eastAsia" w:ascii="宋体" w:hAnsi="宋体" w:cs="宋体"/>
          <w:color w:val="000000"/>
          <w:shd w:val="clear" w:color="auto" w:fill="FDFDFE"/>
        </w:rPr>
        <w:t>订单</w:t>
      </w:r>
      <w:r>
        <w:rPr>
          <w:rFonts w:hint="eastAsia" w:ascii="宋体" w:hAnsi="宋体" w:cs="宋体"/>
          <w:color w:val="000000"/>
          <w:shd w:val="clear" w:color="auto" w:fill="FDFDFE"/>
          <w:lang w:eastAsia="zh-Hans"/>
        </w:rPr>
        <w:t>信息，简化现场</w:t>
      </w:r>
      <w:r>
        <w:rPr>
          <w:rFonts w:hint="eastAsia" w:ascii="宋体" w:hAnsi="宋体" w:cs="宋体"/>
          <w:color w:val="000000"/>
          <w:shd w:val="clear" w:color="auto" w:fill="FDFDFE"/>
        </w:rPr>
        <w:t>核验</w:t>
      </w:r>
      <w:r>
        <w:rPr>
          <w:rFonts w:hint="eastAsia" w:ascii="宋体" w:hAnsi="宋体" w:cs="宋体"/>
          <w:color w:val="000000"/>
          <w:shd w:val="clear" w:color="auto" w:fill="FDFDFE"/>
          <w:lang w:eastAsia="zh-Hans"/>
        </w:rPr>
        <w:t>流程，有效减少观众排队等待时间，从整体提升服务品质与运营管理效率。支持对单人票、亲子票、双人票、儿童票、团体收费票等票种类型的核验。</w:t>
      </w:r>
    </w:p>
    <w:p w14:paraId="1B823C71">
      <w:pPr>
        <w:numPr>
          <w:ilvl w:val="0"/>
          <w:numId w:val="4"/>
        </w:numPr>
        <w:rPr>
          <w:rFonts w:hint="eastAsia" w:ascii="宋体" w:hAnsi="宋体" w:cs="宋体"/>
          <w:color w:val="000000"/>
          <w:shd w:val="clear" w:color="auto" w:fill="FDFDFE"/>
          <w:lang w:eastAsia="zh-Hans"/>
        </w:rPr>
      </w:pPr>
      <w:r>
        <w:rPr>
          <w:rFonts w:hint="eastAsia" w:ascii="宋体" w:hAnsi="宋体" w:cs="宋体"/>
          <w:color w:val="0F1115"/>
          <w:shd w:val="clear" w:color="auto" w:fill="FFFFFF"/>
        </w:rPr>
        <w:t>对现有立式核验设备终端软件进行升级，实现对入场人流量的精准监控与实时感知，增加实时核验人数显示功能，能够动态统计并清晰展示通过该设备核验成功的累计人数，为现场工作人员的调度与管理提供关键数据支持。</w:t>
      </w:r>
    </w:p>
    <w:bookmarkEnd w:id="0"/>
    <w:p w14:paraId="46DDF0F7">
      <w:pPr>
        <w:pStyle w:val="4"/>
        <w:tabs>
          <w:tab w:val="left" w:pos="567"/>
        </w:tabs>
        <w:rPr>
          <w:rFonts w:hint="eastAsia" w:ascii="宋体" w:hAnsi="宋体" w:cs="宋体"/>
          <w:sz w:val="24"/>
          <w:szCs w:val="24"/>
        </w:rPr>
      </w:pPr>
      <w:r>
        <w:rPr>
          <w:rFonts w:hint="eastAsia" w:ascii="宋体" w:hAnsi="宋体" w:cs="宋体"/>
          <w:sz w:val="24"/>
          <w:szCs w:val="24"/>
        </w:rPr>
        <w:t>活动与讲座预约服务升级</w:t>
      </w:r>
    </w:p>
    <w:p w14:paraId="67B145EF">
      <w:pPr>
        <w:numPr>
          <w:ilvl w:val="0"/>
          <w:numId w:val="4"/>
        </w:numPr>
        <w:rPr>
          <w:rFonts w:hint="eastAsia" w:ascii="宋体" w:hAnsi="宋体" w:cs="宋体"/>
        </w:rPr>
      </w:pPr>
      <w:r>
        <w:rPr>
          <w:rFonts w:hint="eastAsia" w:ascii="宋体" w:hAnsi="宋体" w:cs="宋体"/>
        </w:rPr>
        <w:t>为提升活动/讲座预约服务的包容性与便捷性，需对现有预约系统进行升级。在目前仅支持身份证预约核验的基础上，扩展支持包括护照、台湾居民来往大陆通行证、港澳居民来往内地通行证、外国人永久居留身份证在内的证件类型。升级后，用户可使用以上任一证件完成预约与现场核验，实现更广泛的国际访客覆盖与更顺畅的预约体验。</w:t>
      </w:r>
    </w:p>
    <w:p w14:paraId="6410E7E4">
      <w:pPr>
        <w:numPr>
          <w:ilvl w:val="0"/>
          <w:numId w:val="4"/>
        </w:numPr>
        <w:rPr>
          <w:rFonts w:hint="eastAsia" w:ascii="宋体" w:hAnsi="宋体" w:cs="宋体"/>
        </w:rPr>
      </w:pPr>
      <w:r>
        <w:rPr>
          <w:rFonts w:hint="eastAsia" w:ascii="宋体" w:hAnsi="宋体" w:cs="宋体"/>
        </w:rPr>
        <w:t>新增“星守计划”活动，支持观众通过前端小程序进行预约，预约后现场进行核验及签到。后台管理端可以设置该活动的详细信息包括活动时间、内容、自动放票时间、签到时间等。</w:t>
      </w:r>
    </w:p>
    <w:p w14:paraId="1453340D">
      <w:pPr>
        <w:numPr>
          <w:ilvl w:val="0"/>
          <w:numId w:val="4"/>
        </w:numPr>
        <w:rPr>
          <w:rFonts w:hint="eastAsia" w:ascii="宋体" w:hAnsi="宋体" w:cs="宋体"/>
        </w:rPr>
      </w:pPr>
      <w:r>
        <w:rPr>
          <w:rFonts w:hint="eastAsia" w:ascii="宋体" w:hAnsi="宋体" w:cs="宋体"/>
        </w:rPr>
        <w:t>票务系统新增线上预约收费功能。该功能需能同时满足常规门票、特展及活动预约的线上收款需求，并支持退款流程。同时，系统后台需同步增加与之匹配的收支统计模块，能够按项目、时间等多维度生成清晰的财务报表，以实现资金的透明化管理和便捷对账。</w:t>
      </w:r>
    </w:p>
    <w:p w14:paraId="5F0E10A4">
      <w:pPr>
        <w:pStyle w:val="4"/>
        <w:tabs>
          <w:tab w:val="left" w:pos="567"/>
        </w:tabs>
        <w:rPr>
          <w:rFonts w:hint="eastAsia" w:ascii="宋体" w:hAnsi="宋体" w:cs="宋体"/>
          <w:sz w:val="24"/>
          <w:szCs w:val="24"/>
        </w:rPr>
      </w:pPr>
      <w:r>
        <w:rPr>
          <w:rFonts w:hint="eastAsia" w:ascii="宋体" w:hAnsi="宋体" w:cs="宋体"/>
          <w:sz w:val="24"/>
          <w:szCs w:val="24"/>
        </w:rPr>
        <w:t>票池服务升级</w:t>
      </w:r>
    </w:p>
    <w:p w14:paraId="3A3DBA4F">
      <w:pPr>
        <w:numPr>
          <w:ilvl w:val="0"/>
          <w:numId w:val="4"/>
        </w:numPr>
        <w:rPr>
          <w:rFonts w:hint="eastAsia" w:ascii="宋体" w:hAnsi="宋体" w:cs="宋体"/>
        </w:rPr>
      </w:pPr>
      <w:r>
        <w:rPr>
          <w:rFonts w:hint="eastAsia" w:ascii="宋体" w:hAnsi="宋体" w:cs="宋体"/>
        </w:rPr>
        <w:t>周期性票池配置</w:t>
      </w:r>
    </w:p>
    <w:p w14:paraId="47AD07D3">
      <w:pPr>
        <w:ind w:left="480"/>
        <w:rPr>
          <w:rFonts w:hint="eastAsia" w:ascii="宋体" w:hAnsi="宋体" w:cs="宋体"/>
        </w:rPr>
      </w:pPr>
      <w:r>
        <w:rPr>
          <w:rFonts w:hint="eastAsia" w:ascii="宋体" w:hAnsi="宋体" w:cs="宋体"/>
        </w:rPr>
        <w:t xml:space="preserve"> </w:t>
      </w:r>
      <w:r>
        <w:rPr>
          <w:rFonts w:hint="eastAsia" w:ascii="宋体" w:hAnsi="宋体" w:cs="宋体"/>
        </w:rPr>
        <w:tab/>
      </w:r>
      <w:r>
        <w:rPr>
          <w:rFonts w:hint="eastAsia" w:ascii="宋体" w:hAnsi="宋体" w:cs="宋体"/>
        </w:rPr>
        <w:t>根据我馆制定的月度开放计划，在预约系统中创建并配置所有日常开放场次的票池。</w:t>
      </w:r>
    </w:p>
    <w:p w14:paraId="7F67D353">
      <w:pPr>
        <w:ind w:left="480" w:firstLine="419"/>
        <w:rPr>
          <w:rFonts w:hint="eastAsia" w:ascii="宋体" w:hAnsi="宋体" w:cs="宋体"/>
        </w:rPr>
      </w:pPr>
      <w:r>
        <w:rPr>
          <w:rFonts w:hint="eastAsia" w:ascii="宋体" w:hAnsi="宋体" w:cs="宋体"/>
        </w:rPr>
        <w:t>支持独立创建并配置周五、重大节假日、特殊活动日等非常规场次的票池。</w:t>
      </w:r>
    </w:p>
    <w:p w14:paraId="0D6FB9E5">
      <w:pPr>
        <w:ind w:left="480" w:firstLine="419"/>
        <w:rPr>
          <w:rFonts w:hint="eastAsia" w:ascii="宋体" w:hAnsi="宋体" w:cs="宋体"/>
        </w:rPr>
      </w:pPr>
      <w:r>
        <w:rPr>
          <w:rFonts w:hint="eastAsia" w:ascii="宋体" w:hAnsi="宋体" w:cs="宋体"/>
        </w:rPr>
        <w:t>为每个票池设定准确的订单总量、个人预约上限、开放预约时间、入场核验规则等参数，并可根据实际需求优化参数配置。</w:t>
      </w:r>
    </w:p>
    <w:p w14:paraId="0233C947">
      <w:pPr>
        <w:numPr>
          <w:ilvl w:val="0"/>
          <w:numId w:val="4"/>
        </w:numPr>
        <w:rPr>
          <w:rFonts w:hint="eastAsia" w:ascii="宋体" w:hAnsi="宋体" w:cs="宋体"/>
        </w:rPr>
      </w:pPr>
      <w:r>
        <w:rPr>
          <w:rFonts w:hint="eastAsia" w:ascii="宋体" w:hAnsi="宋体" w:cs="宋体"/>
        </w:rPr>
        <w:t>信息发布与维护</w:t>
      </w:r>
    </w:p>
    <w:p w14:paraId="69150EF0">
      <w:pPr>
        <w:ind w:left="480" w:firstLine="419"/>
        <w:rPr>
          <w:rFonts w:hint="eastAsia" w:ascii="宋体" w:hAnsi="宋体" w:cs="宋体"/>
        </w:rPr>
      </w:pPr>
      <w:r>
        <w:rPr>
          <w:rFonts w:hint="eastAsia" w:ascii="宋体" w:hAnsi="宋体" w:cs="宋体"/>
        </w:rPr>
        <w:t>在系统后台准确发布、更新及下撤各类开放公告、预约须知。</w:t>
      </w:r>
    </w:p>
    <w:p w14:paraId="5E36B522">
      <w:pPr>
        <w:ind w:left="480" w:firstLine="419"/>
        <w:rPr>
          <w:rFonts w:hint="eastAsia" w:ascii="宋体" w:hAnsi="宋体" w:cs="宋体"/>
        </w:rPr>
      </w:pPr>
      <w:r>
        <w:rPr>
          <w:rFonts w:hint="eastAsia" w:ascii="宋体" w:hAnsi="宋体" w:cs="宋体"/>
        </w:rPr>
        <w:t>确保所有前端渠道（微信公众号、小程序）预约信息与后台票池状态实时同步、准确无误。</w:t>
      </w:r>
    </w:p>
    <w:p w14:paraId="40E050B9">
      <w:pPr>
        <w:numPr>
          <w:ilvl w:val="0"/>
          <w:numId w:val="4"/>
        </w:numPr>
        <w:rPr>
          <w:rFonts w:hint="eastAsia" w:ascii="宋体" w:hAnsi="宋体" w:cs="宋体"/>
        </w:rPr>
      </w:pPr>
      <w:r>
        <w:rPr>
          <w:rFonts w:hint="eastAsia" w:ascii="宋体" w:hAnsi="宋体" w:cs="宋体"/>
        </w:rPr>
        <w:t>阶梯放票策略执行</w:t>
      </w:r>
    </w:p>
    <w:p w14:paraId="0739D77D">
      <w:pPr>
        <w:ind w:left="480"/>
        <w:rPr>
          <w:rFonts w:hint="eastAsia" w:ascii="宋体" w:hAnsi="宋体" w:cs="宋体"/>
        </w:rPr>
      </w:pPr>
      <w:r>
        <w:rPr>
          <w:rFonts w:hint="eastAsia" w:ascii="宋体" w:hAnsi="宋体" w:cs="宋体"/>
        </w:rPr>
        <w:t xml:space="preserve"> </w:t>
      </w:r>
      <w:r>
        <w:rPr>
          <w:rFonts w:hint="eastAsia" w:ascii="宋体" w:hAnsi="宋体" w:cs="宋体"/>
        </w:rPr>
        <w:tab/>
      </w:r>
      <w:r>
        <w:rPr>
          <w:rFonts w:hint="eastAsia" w:ascii="宋体" w:hAnsi="宋体" w:cs="宋体"/>
        </w:rPr>
        <w:t>在重大活动、法定节假日、寒暑假高峰、重要展览期间等关键节点，依据我馆制定的放票策略，在系统中配置并执行多阶段阶梯放票方案。</w:t>
      </w:r>
    </w:p>
    <w:p w14:paraId="2F048548">
      <w:pPr>
        <w:ind w:left="480" w:firstLine="419"/>
        <w:rPr>
          <w:rFonts w:hint="eastAsia" w:ascii="宋体" w:hAnsi="宋体" w:cs="宋体"/>
        </w:rPr>
      </w:pPr>
      <w:r>
        <w:rPr>
          <w:rFonts w:hint="eastAsia" w:ascii="宋体" w:hAnsi="宋体" w:cs="宋体"/>
        </w:rPr>
        <w:t>监控放票过程，确保系统稳定，能根据实际情况配合进行动态微调。</w:t>
      </w:r>
    </w:p>
    <w:p w14:paraId="234A0A64">
      <w:pPr>
        <w:numPr>
          <w:ilvl w:val="0"/>
          <w:numId w:val="4"/>
        </w:numPr>
        <w:rPr>
          <w:rFonts w:hint="eastAsia" w:ascii="宋体" w:hAnsi="宋体" w:cs="宋体"/>
        </w:rPr>
      </w:pPr>
      <w:r>
        <w:rPr>
          <w:rFonts w:hint="eastAsia" w:ascii="宋体" w:hAnsi="宋体" w:cs="宋体"/>
        </w:rPr>
        <w:t>日常监控与巡检</w:t>
      </w:r>
    </w:p>
    <w:p w14:paraId="29A38752">
      <w:pPr>
        <w:ind w:left="480" w:firstLine="419"/>
        <w:rPr>
          <w:rFonts w:hint="eastAsia" w:ascii="宋体" w:hAnsi="宋体" w:cs="宋体"/>
        </w:rPr>
      </w:pPr>
      <w:r>
        <w:rPr>
          <w:rFonts w:hint="eastAsia" w:ascii="宋体" w:hAnsi="宋体" w:cs="宋体"/>
        </w:rPr>
        <w:t>工作日对开放预约的票池状态进行巡检，包括余票显示、预约流水等是否正常。</w:t>
      </w:r>
    </w:p>
    <w:p w14:paraId="38B1C7C7">
      <w:pPr>
        <w:ind w:left="480" w:firstLine="419"/>
        <w:rPr>
          <w:rFonts w:hint="eastAsia" w:ascii="宋体" w:hAnsi="宋体" w:cs="宋体"/>
        </w:rPr>
      </w:pPr>
      <w:r>
        <w:rPr>
          <w:rFonts w:hint="eastAsia" w:ascii="宋体" w:hAnsi="宋体" w:cs="宋体"/>
        </w:rPr>
        <w:t>监控系统预约流量，记录异常情况并及时报告，能够根据需求完成对预约数据的统计分析，形成完整的数据分析报告供馆内领导决策参考。</w:t>
      </w:r>
    </w:p>
    <w:p w14:paraId="199450A0">
      <w:pPr>
        <w:pStyle w:val="4"/>
        <w:tabs>
          <w:tab w:val="left" w:pos="567"/>
        </w:tabs>
        <w:rPr>
          <w:rFonts w:hint="eastAsia" w:ascii="宋体" w:hAnsi="宋体" w:cs="宋体"/>
          <w:color w:val="000000"/>
          <w:sz w:val="24"/>
          <w:szCs w:val="24"/>
        </w:rPr>
      </w:pPr>
      <w:r>
        <w:rPr>
          <w:rFonts w:hint="eastAsia" w:ascii="宋体" w:hAnsi="宋体" w:cs="宋体"/>
          <w:sz w:val="24"/>
          <w:szCs w:val="24"/>
        </w:rPr>
        <w:t>开放服务后台数据统计服务升级</w:t>
      </w:r>
    </w:p>
    <w:p w14:paraId="60F45067">
      <w:pPr>
        <w:numPr>
          <w:ilvl w:val="0"/>
          <w:numId w:val="4"/>
        </w:numPr>
        <w:rPr>
          <w:rFonts w:hint="eastAsia" w:ascii="宋体" w:hAnsi="宋体" w:cs="宋体"/>
        </w:rPr>
      </w:pPr>
      <w:r>
        <w:rPr>
          <w:rFonts w:hint="eastAsia" w:ascii="宋体" w:hAnsi="宋体" w:cs="宋体"/>
        </w:rPr>
        <w:t>增强服务后台的数据统计功能，支持对收费人员、免费人员、未成年预约人员、各地域（省/市）来源人员等多个关键指标进行精细化统计与交叉分析。提供数据全面、准确的统计，满足多维度、深层次的业务分析需求，为运营策略优化与资源精准配置提供坚实的数据支撑。</w:t>
      </w:r>
    </w:p>
    <w:p w14:paraId="29734CBF">
      <w:pPr>
        <w:numPr>
          <w:ilvl w:val="0"/>
          <w:numId w:val="4"/>
        </w:numPr>
        <w:rPr>
          <w:rFonts w:hint="eastAsia" w:ascii="宋体" w:hAnsi="宋体" w:cs="宋体"/>
        </w:rPr>
      </w:pPr>
      <w:r>
        <w:rPr>
          <w:rFonts w:hint="eastAsia" w:ascii="宋体" w:hAnsi="宋体" w:cs="宋体"/>
          <w:color w:val="0F1115"/>
          <w:shd w:val="clear" w:color="auto" w:fill="FFFFFF"/>
        </w:rPr>
        <w:t>规划与调整前端显示界面的内容布局，确保关键指标一目了然，操作流程简洁高效，提升数据页面的实用性与用户体验</w:t>
      </w:r>
      <w:r>
        <w:rPr>
          <w:rFonts w:hint="eastAsia" w:ascii="宋体" w:hAnsi="宋体" w:cs="宋体"/>
        </w:rPr>
        <w:t>。</w:t>
      </w:r>
    </w:p>
    <w:p w14:paraId="45F979A7">
      <w:pPr>
        <w:numPr>
          <w:ilvl w:val="0"/>
          <w:numId w:val="4"/>
        </w:numPr>
        <w:rPr>
          <w:rFonts w:hint="eastAsia" w:ascii="宋体" w:hAnsi="宋体" w:cs="宋体"/>
          <w:color w:val="000000"/>
        </w:rPr>
      </w:pPr>
      <w:r>
        <w:rPr>
          <w:rFonts w:hint="eastAsia" w:ascii="宋体" w:hAnsi="宋体" w:cs="宋体"/>
          <w:color w:val="000000"/>
        </w:rPr>
        <w:t>外部部门数据对接服务，支持将支付订单数据通过接口的方式进行对接。</w:t>
      </w:r>
    </w:p>
    <w:p w14:paraId="2FA0AEEA">
      <w:pPr>
        <w:pStyle w:val="4"/>
        <w:tabs>
          <w:tab w:val="left" w:pos="567"/>
        </w:tabs>
        <w:rPr>
          <w:rFonts w:hint="eastAsia" w:ascii="宋体" w:hAnsi="宋体" w:cs="宋体"/>
          <w:color w:val="000000"/>
          <w:sz w:val="24"/>
          <w:szCs w:val="24"/>
        </w:rPr>
      </w:pPr>
      <w:r>
        <w:rPr>
          <w:rFonts w:hint="eastAsia" w:ascii="宋体" w:hAnsi="宋体" w:cs="宋体"/>
          <w:sz w:val="24"/>
          <w:szCs w:val="24"/>
        </w:rPr>
        <w:t>第三方系统对接服务</w:t>
      </w:r>
    </w:p>
    <w:p w14:paraId="53235479">
      <w:pPr>
        <w:numPr>
          <w:ilvl w:val="0"/>
          <w:numId w:val="4"/>
        </w:numPr>
        <w:rPr>
          <w:rFonts w:hint="eastAsia" w:ascii="宋体" w:hAnsi="宋体" w:cs="宋体"/>
        </w:rPr>
      </w:pPr>
      <w:r>
        <w:rPr>
          <w:rFonts w:hint="eastAsia" w:ascii="宋体" w:hAnsi="宋体" w:cs="宋体"/>
        </w:rPr>
        <w:t>对接并集成主流第三方支付平台，包括微信支付、支付宝、信用卡支付等。实现从发起支付、状态同步到退款处理的全流程功能，确保支付接口具备高可用性与稳定性，并采用高强度加密技术保障交易数据安全，最终为用户提供统一、安全、便捷的交易体验。</w:t>
      </w:r>
    </w:p>
    <w:p w14:paraId="082AD455">
      <w:pPr>
        <w:numPr>
          <w:ilvl w:val="0"/>
          <w:numId w:val="4"/>
        </w:numPr>
        <w:rPr>
          <w:rFonts w:hint="eastAsia" w:ascii="宋体" w:hAnsi="宋体" w:cs="宋体"/>
        </w:rPr>
      </w:pPr>
      <w:r>
        <w:rPr>
          <w:rFonts w:hint="eastAsia" w:ascii="宋体" w:hAnsi="宋体" w:cs="宋体"/>
        </w:rPr>
        <w:t xml:space="preserve">对接符合国家税务标准的第三方电子发票服务平台。系统须实现用户在购票成功后，可在线自助申请开具电子发票，并支持个人与单位两种开票模式。保障业务数据能自动同步至开票平台，实现发票的即时生成与下载，确保全流程自动化，为用户提供高效、规范的开票服务。 </w:t>
      </w:r>
    </w:p>
    <w:p w14:paraId="6F5075E3">
      <w:pPr>
        <w:pStyle w:val="3"/>
        <w:rPr>
          <w:rFonts w:hint="eastAsia" w:ascii="宋体" w:hAnsi="宋体" w:eastAsia="宋体" w:cs="宋体"/>
          <w:sz w:val="24"/>
          <w:szCs w:val="24"/>
        </w:rPr>
      </w:pPr>
      <w:r>
        <w:rPr>
          <w:rFonts w:hint="eastAsia" w:ascii="宋体" w:hAnsi="宋体" w:eastAsia="宋体" w:cs="宋体"/>
          <w:sz w:val="24"/>
          <w:szCs w:val="24"/>
        </w:rPr>
        <w:t>全年度安全风控服务</w:t>
      </w:r>
    </w:p>
    <w:p w14:paraId="1A05AC95">
      <w:pPr>
        <w:pStyle w:val="4"/>
        <w:tabs>
          <w:tab w:val="left" w:pos="567"/>
        </w:tabs>
        <w:rPr>
          <w:rFonts w:hint="eastAsia" w:ascii="宋体" w:hAnsi="宋体" w:cs="宋体"/>
          <w:sz w:val="24"/>
          <w:szCs w:val="24"/>
        </w:rPr>
      </w:pPr>
      <w:r>
        <w:rPr>
          <w:rFonts w:hint="eastAsia" w:ascii="宋体" w:hAnsi="宋体" w:cs="宋体"/>
          <w:sz w:val="24"/>
          <w:szCs w:val="24"/>
        </w:rPr>
        <w:t>异常流量监测服务</w:t>
      </w:r>
    </w:p>
    <w:p w14:paraId="1213B7F4">
      <w:pPr>
        <w:numPr>
          <w:ilvl w:val="0"/>
          <w:numId w:val="4"/>
        </w:numPr>
        <w:rPr>
          <w:rFonts w:hint="eastAsia" w:ascii="宋体" w:hAnsi="宋体" w:cs="宋体"/>
        </w:rPr>
      </w:pPr>
      <w:r>
        <w:rPr>
          <w:rFonts w:hint="eastAsia" w:ascii="宋体" w:hAnsi="宋体" w:cs="宋体"/>
        </w:rPr>
        <w:t xml:space="preserve">通过异常流量进行实时监测和分析，识别非法请求、频繁刷新以及接口攻击类的请求及其特征。同时，可依据用户操作行为与所定义的正常用户行为阈值，实时检测与分析，精准识别异常流量。 </w:t>
      </w:r>
    </w:p>
    <w:p w14:paraId="3E7AEF11">
      <w:pPr>
        <w:pStyle w:val="4"/>
        <w:tabs>
          <w:tab w:val="left" w:pos="567"/>
        </w:tabs>
        <w:rPr>
          <w:rFonts w:hint="eastAsia" w:ascii="宋体" w:hAnsi="宋体" w:cs="宋体"/>
          <w:sz w:val="24"/>
          <w:szCs w:val="24"/>
        </w:rPr>
      </w:pPr>
      <w:r>
        <w:rPr>
          <w:rFonts w:hint="eastAsia" w:ascii="宋体" w:hAnsi="宋体" w:cs="宋体"/>
          <w:sz w:val="24"/>
          <w:szCs w:val="24"/>
        </w:rPr>
        <w:t>风控模型和策略的持续优化</w:t>
      </w:r>
    </w:p>
    <w:p w14:paraId="2F1CF13D">
      <w:pPr>
        <w:numPr>
          <w:ilvl w:val="0"/>
          <w:numId w:val="4"/>
        </w:numPr>
        <w:rPr>
          <w:rFonts w:hint="eastAsia" w:ascii="宋体" w:hAnsi="宋体" w:cs="宋体"/>
        </w:rPr>
      </w:pPr>
      <w:r>
        <w:rPr>
          <w:rFonts w:hint="eastAsia" w:ascii="宋体" w:hAnsi="宋体" w:cs="宋体"/>
        </w:rPr>
        <w:t>建立实时的风险监测系统，对风控模型的运行效果进行持续跟踪。收集模型在拦截管控过程中的实际表现数据，包括误判率、漏判率、风险拦截成功率等关键指标。依据监测到的结果，定期对风控策略进行针对性地调整。</w:t>
      </w:r>
    </w:p>
    <w:p w14:paraId="6C1DA7A6">
      <w:pPr>
        <w:pStyle w:val="4"/>
        <w:tabs>
          <w:tab w:val="left" w:pos="567"/>
        </w:tabs>
        <w:rPr>
          <w:rFonts w:hint="eastAsia" w:ascii="宋体" w:hAnsi="宋体" w:cs="宋体"/>
          <w:sz w:val="24"/>
          <w:szCs w:val="24"/>
        </w:rPr>
      </w:pPr>
      <w:r>
        <w:rPr>
          <w:rFonts w:hint="eastAsia" w:ascii="宋体" w:hAnsi="宋体" w:cs="宋体"/>
          <w:sz w:val="24"/>
          <w:szCs w:val="24"/>
        </w:rPr>
        <w:t>风控告警监测及账号异常处理</w:t>
      </w:r>
    </w:p>
    <w:p w14:paraId="61C24F59">
      <w:pPr>
        <w:numPr>
          <w:ilvl w:val="0"/>
          <w:numId w:val="4"/>
        </w:numPr>
        <w:rPr>
          <w:rFonts w:hint="eastAsia" w:ascii="宋体" w:hAnsi="宋体" w:cs="宋体"/>
        </w:rPr>
      </w:pPr>
      <w:r>
        <w:rPr>
          <w:rFonts w:hint="eastAsia" w:ascii="宋体" w:hAnsi="宋体" w:cs="宋体"/>
        </w:rPr>
        <w:t>提供风控告警监测能力，精准发现攻击行为，并自动生成详细的预警信息。预警信息应涵盖关键要素，及时准确地预警通知，为后续的风险应对措施提供依据。</w:t>
      </w:r>
    </w:p>
    <w:p w14:paraId="0929BC2D">
      <w:pPr>
        <w:numPr>
          <w:ilvl w:val="0"/>
          <w:numId w:val="4"/>
        </w:numPr>
        <w:rPr>
          <w:rFonts w:hint="eastAsia" w:ascii="宋体" w:hAnsi="宋体" w:cs="宋体"/>
        </w:rPr>
      </w:pPr>
      <w:r>
        <w:rPr>
          <w:rFonts w:hint="eastAsia" w:ascii="宋体" w:hAnsi="宋体" w:cs="宋体"/>
        </w:rPr>
        <w:t>提供自动阻断功能，依据精准的识别结果，对异常流量进行拒止，对异常账号提供同步和异步的处理机制。</w:t>
      </w:r>
    </w:p>
    <w:p w14:paraId="2BC73B6E">
      <w:pPr>
        <w:pStyle w:val="3"/>
        <w:rPr>
          <w:rFonts w:hint="eastAsia" w:ascii="宋体" w:hAnsi="宋体" w:eastAsia="宋体" w:cs="宋体"/>
          <w:sz w:val="24"/>
          <w:szCs w:val="24"/>
        </w:rPr>
      </w:pPr>
      <w:r>
        <w:rPr>
          <w:rFonts w:hint="eastAsia" w:ascii="宋体" w:hAnsi="宋体" w:eastAsia="宋体" w:cs="宋体"/>
          <w:sz w:val="24"/>
          <w:szCs w:val="24"/>
        </w:rPr>
        <w:t>全年度微信托管云服务</w:t>
      </w:r>
    </w:p>
    <w:p w14:paraId="6974681A">
      <w:pPr>
        <w:ind w:firstLine="420"/>
        <w:rPr>
          <w:rFonts w:hint="eastAsia" w:ascii="宋体" w:hAnsi="宋体" w:cs="宋体"/>
          <w:color w:val="000000"/>
        </w:rPr>
      </w:pPr>
      <w:r>
        <w:rPr>
          <w:rFonts w:hint="eastAsia" w:ascii="宋体" w:hAnsi="宋体" w:cs="宋体"/>
          <w:color w:val="000000"/>
        </w:rPr>
        <w:t>包含微信平台全年前后端托管所需的云资源服务，包括计算服务、存储服务、网络服务、备份服务等。</w:t>
      </w:r>
    </w:p>
    <w:p w14:paraId="54EB8E74">
      <w:pPr>
        <w:numPr>
          <w:ilvl w:val="0"/>
          <w:numId w:val="4"/>
        </w:numPr>
        <w:rPr>
          <w:rFonts w:hint="eastAsia" w:ascii="宋体" w:hAnsi="宋体" w:cs="宋体"/>
        </w:rPr>
      </w:pPr>
      <w:r>
        <w:rPr>
          <w:rFonts w:hint="eastAsia" w:ascii="宋体" w:hAnsi="宋体" w:cs="宋体"/>
        </w:rPr>
        <w:t>云服务计算资源：8 CPU，32 GB内存，4台/年。</w:t>
      </w:r>
    </w:p>
    <w:p w14:paraId="3406E46A">
      <w:pPr>
        <w:numPr>
          <w:ilvl w:val="0"/>
          <w:numId w:val="4"/>
        </w:numPr>
        <w:rPr>
          <w:rFonts w:hint="eastAsia" w:ascii="宋体" w:hAnsi="宋体" w:cs="宋体"/>
        </w:rPr>
      </w:pPr>
      <w:r>
        <w:rPr>
          <w:rFonts w:hint="eastAsia" w:ascii="宋体" w:hAnsi="宋体" w:cs="宋体"/>
        </w:rPr>
        <w:t>云主机监控服务：提供云主机监控服务/年。</w:t>
      </w:r>
    </w:p>
    <w:p w14:paraId="1AF1D0CC">
      <w:pPr>
        <w:numPr>
          <w:ilvl w:val="0"/>
          <w:numId w:val="4"/>
        </w:numPr>
        <w:rPr>
          <w:rFonts w:hint="eastAsia" w:ascii="宋体" w:hAnsi="宋体" w:cs="宋体"/>
        </w:rPr>
      </w:pPr>
      <w:r>
        <w:rPr>
          <w:rFonts w:hint="eastAsia" w:ascii="宋体" w:hAnsi="宋体" w:cs="宋体"/>
        </w:rPr>
        <w:t>互联网带宽：100Mbps 含公网IP，为了保证网络质量和稳定性，采用云计算平台统一提供的宽带服务。</w:t>
      </w:r>
    </w:p>
    <w:p w14:paraId="0B29C9D5">
      <w:pPr>
        <w:numPr>
          <w:ilvl w:val="0"/>
          <w:numId w:val="4"/>
        </w:numPr>
        <w:rPr>
          <w:rFonts w:hint="eastAsia" w:ascii="宋体" w:hAnsi="宋体" w:cs="宋体"/>
        </w:rPr>
      </w:pPr>
      <w:r>
        <w:rPr>
          <w:rFonts w:hint="eastAsia" w:ascii="宋体" w:hAnsi="宋体" w:cs="宋体"/>
        </w:rPr>
        <w:t>云安全服务：提供防病毒、漏洞修复服务。</w:t>
      </w:r>
    </w:p>
    <w:p w14:paraId="3D234495">
      <w:pPr>
        <w:numPr>
          <w:ilvl w:val="0"/>
          <w:numId w:val="4"/>
        </w:numPr>
        <w:rPr>
          <w:rFonts w:hint="eastAsia" w:ascii="宋体" w:hAnsi="宋体" w:cs="宋体"/>
        </w:rPr>
      </w:pPr>
      <w:r>
        <w:rPr>
          <w:rFonts w:hint="eastAsia" w:ascii="宋体" w:hAnsi="宋体" w:cs="宋体"/>
        </w:rPr>
        <w:t>Web 应用防火墙（WAF）。</w:t>
      </w:r>
    </w:p>
    <w:p w14:paraId="4D35370A">
      <w:pPr>
        <w:numPr>
          <w:ilvl w:val="0"/>
          <w:numId w:val="4"/>
        </w:numPr>
        <w:rPr>
          <w:rFonts w:hint="eastAsia" w:ascii="宋体" w:hAnsi="宋体" w:cs="宋体"/>
        </w:rPr>
      </w:pPr>
      <w:r>
        <w:rPr>
          <w:rFonts w:hint="eastAsia" w:ascii="宋体" w:hAnsi="宋体" w:cs="宋体"/>
        </w:rPr>
        <w:t>CDN加速服务：400T/年。</w:t>
      </w:r>
    </w:p>
    <w:p w14:paraId="4AC4B100">
      <w:pPr>
        <w:numPr>
          <w:ilvl w:val="0"/>
          <w:numId w:val="4"/>
        </w:numPr>
        <w:rPr>
          <w:rFonts w:hint="eastAsia" w:ascii="宋体" w:hAnsi="宋体" w:cs="宋体"/>
        </w:rPr>
      </w:pPr>
      <w:r>
        <w:rPr>
          <w:rFonts w:hint="eastAsia" w:ascii="宋体" w:hAnsi="宋体" w:cs="宋体"/>
        </w:rPr>
        <w:t>数据库审计服务。</w:t>
      </w:r>
    </w:p>
    <w:p w14:paraId="122902FA">
      <w:pPr>
        <w:pStyle w:val="3"/>
        <w:rPr>
          <w:rFonts w:hint="eastAsia" w:ascii="宋体" w:hAnsi="宋体" w:eastAsia="宋体" w:cs="宋体"/>
          <w:sz w:val="24"/>
          <w:szCs w:val="24"/>
        </w:rPr>
      </w:pPr>
      <w:r>
        <w:rPr>
          <w:rFonts w:hint="eastAsia" w:ascii="宋体" w:hAnsi="宋体" w:eastAsia="宋体" w:cs="宋体"/>
          <w:sz w:val="24"/>
          <w:szCs w:val="24"/>
        </w:rPr>
        <w:t>全年度微信托管运维综合服务</w:t>
      </w:r>
    </w:p>
    <w:p w14:paraId="2DA1C0E4">
      <w:pPr>
        <w:pStyle w:val="4"/>
        <w:tabs>
          <w:tab w:val="left" w:pos="567"/>
        </w:tabs>
        <w:rPr>
          <w:rFonts w:hint="eastAsia" w:ascii="宋体" w:hAnsi="宋体" w:cs="宋体"/>
          <w:sz w:val="24"/>
          <w:szCs w:val="24"/>
        </w:rPr>
      </w:pPr>
      <w:r>
        <w:rPr>
          <w:rFonts w:hint="eastAsia" w:ascii="宋体" w:hAnsi="宋体" w:cs="宋体"/>
          <w:sz w:val="24"/>
          <w:szCs w:val="24"/>
        </w:rPr>
        <w:t>微信综合运维服务</w:t>
      </w:r>
    </w:p>
    <w:p w14:paraId="51D9B93B">
      <w:pPr>
        <w:numPr>
          <w:ilvl w:val="0"/>
          <w:numId w:val="4"/>
        </w:numPr>
        <w:rPr>
          <w:rFonts w:hint="eastAsia" w:ascii="宋体" w:hAnsi="宋体" w:cs="宋体"/>
        </w:rPr>
      </w:pPr>
      <w:r>
        <w:rPr>
          <w:rFonts w:hint="eastAsia" w:ascii="宋体" w:hAnsi="宋体" w:cs="宋体"/>
        </w:rPr>
        <w:t>提供基本陈列、展览欣赏、馆藏精品、全景欣赏、联系我们、星守计划、社教活动、专题讲座、文物征集等微信栏目全年内容的配置、修改和数据导出等服务。</w:t>
      </w:r>
    </w:p>
    <w:p w14:paraId="0D0C8EF8">
      <w:pPr>
        <w:pStyle w:val="4"/>
        <w:tabs>
          <w:tab w:val="left" w:pos="567"/>
        </w:tabs>
        <w:rPr>
          <w:rFonts w:hint="eastAsia" w:ascii="宋体" w:hAnsi="宋体" w:cs="宋体"/>
          <w:sz w:val="24"/>
          <w:szCs w:val="24"/>
        </w:rPr>
      </w:pPr>
      <w:r>
        <w:rPr>
          <w:rFonts w:hint="eastAsia" w:ascii="宋体" w:hAnsi="宋体" w:cs="宋体"/>
          <w:sz w:val="24"/>
          <w:szCs w:val="24"/>
        </w:rPr>
        <w:t>短信平台服务</w:t>
      </w:r>
    </w:p>
    <w:p w14:paraId="0BCC5AB4">
      <w:pPr>
        <w:numPr>
          <w:ilvl w:val="0"/>
          <w:numId w:val="4"/>
        </w:numPr>
        <w:rPr>
          <w:rFonts w:hint="eastAsia" w:ascii="宋体" w:hAnsi="宋体" w:cs="宋体"/>
        </w:rPr>
      </w:pPr>
      <w:r>
        <w:rPr>
          <w:rFonts w:hint="eastAsia" w:ascii="宋体" w:hAnsi="宋体" w:cs="宋体"/>
        </w:rPr>
        <w:t>包含通知、验证消息的发送及平台配置、模板管理等服务，短信年服务条数不超过360万条。</w:t>
      </w:r>
    </w:p>
    <w:p w14:paraId="56402974">
      <w:pPr>
        <w:pStyle w:val="4"/>
        <w:tabs>
          <w:tab w:val="left" w:pos="567"/>
        </w:tabs>
        <w:rPr>
          <w:rFonts w:hint="eastAsia" w:ascii="宋体" w:hAnsi="宋体" w:cs="宋体"/>
          <w:sz w:val="24"/>
          <w:szCs w:val="24"/>
        </w:rPr>
      </w:pPr>
      <w:r>
        <w:rPr>
          <w:rFonts w:hint="eastAsia" w:ascii="宋体" w:hAnsi="宋体" w:cs="宋体"/>
          <w:sz w:val="24"/>
          <w:szCs w:val="24"/>
        </w:rPr>
        <w:t>微信认证</w:t>
      </w:r>
    </w:p>
    <w:p w14:paraId="14C8B4C4">
      <w:pPr>
        <w:numPr>
          <w:ilvl w:val="0"/>
          <w:numId w:val="4"/>
        </w:numPr>
        <w:rPr>
          <w:rFonts w:hint="eastAsia" w:ascii="宋体" w:hAnsi="宋体" w:cs="宋体"/>
        </w:rPr>
      </w:pPr>
      <w:r>
        <w:rPr>
          <w:rFonts w:hint="eastAsia" w:ascii="宋体" w:hAnsi="宋体" w:cs="宋体"/>
        </w:rPr>
        <w:t>微信官方认证：2个账号（服务号和订阅号）/年。</w:t>
      </w:r>
    </w:p>
    <w:p w14:paraId="579BEB95">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D04C2"/>
    <w:multiLevelType w:val="multilevel"/>
    <w:tmpl w:val="88ED04C2"/>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0000000B"/>
    <w:multiLevelType w:val="multilevel"/>
    <w:tmpl w:val="0000000B"/>
    <w:lvl w:ilvl="0" w:tentative="0">
      <w:start w:val="1"/>
      <w:numFmt w:val="chineseCountingThousand"/>
      <w:lvlText w:val="第%1章"/>
      <w:lvlJc w:val="left"/>
      <w:pPr>
        <w:tabs>
          <w:tab w:val="left" w:pos="425"/>
        </w:tabs>
        <w:ind w:left="425" w:hanging="425"/>
      </w:pPr>
      <w:rPr>
        <w:rFonts w:hint="eastAsia" w:ascii="仿宋_GB2312" w:hAnsi="仿宋_GB2312"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宋体" w:hAnsi="宋体" w:eastAsia="宋体" w:cs="宋体"/>
        <w:b/>
        <w:i w:val="0"/>
        <w:sz w:val="24"/>
        <w:szCs w:val="24"/>
      </w:rPr>
    </w:lvl>
    <w:lvl w:ilvl="2" w:tentative="0">
      <w:start w:val="1"/>
      <w:numFmt w:val="decimal"/>
      <w:pStyle w:val="4"/>
      <w:isLgl/>
      <w:lvlText w:val="%1.%2.%3."/>
      <w:lvlJc w:val="left"/>
      <w:pPr>
        <w:tabs>
          <w:tab w:val="left" w:pos="1429"/>
        </w:tabs>
        <w:ind w:left="1429" w:hanging="709"/>
      </w:pPr>
      <w:rPr>
        <w:rFonts w:hint="default" w:ascii="宋体" w:hAnsi="宋体" w:eastAsia="宋体" w:cs="宋体"/>
        <w:b/>
        <w:i w:val="0"/>
        <w:sz w:val="24"/>
        <w:szCs w:val="16"/>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2">
    <w:nsid w:val="405A0A64"/>
    <w:multiLevelType w:val="multilevel"/>
    <w:tmpl w:val="405A0A6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5455446"/>
    <w:multiLevelType w:val="multilevel"/>
    <w:tmpl w:val="5545544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tabs>
          <w:tab w:val="left" w:pos="840"/>
        </w:tabs>
        <w:ind w:left="1320" w:hanging="420"/>
      </w:pPr>
      <w:rPr>
        <w:rFonts w:hint="default" w:ascii="Wingdings" w:hAnsi="Wingdings"/>
      </w:rPr>
    </w:lvl>
    <w:lvl w:ilvl="2" w:tentative="0">
      <w:start w:val="1"/>
      <w:numFmt w:val="bullet"/>
      <w:lvlText w:val=""/>
      <w:lvlJc w:val="left"/>
      <w:pPr>
        <w:tabs>
          <w:tab w:val="left" w:pos="1260"/>
        </w:tabs>
        <w:ind w:left="1740" w:hanging="420"/>
      </w:pPr>
      <w:rPr>
        <w:rFonts w:hint="default" w:ascii="Wingdings" w:hAnsi="Wingdings"/>
      </w:rPr>
    </w:lvl>
    <w:lvl w:ilvl="3" w:tentative="0">
      <w:start w:val="1"/>
      <w:numFmt w:val="bullet"/>
      <w:lvlText w:val=""/>
      <w:lvlJc w:val="left"/>
      <w:pPr>
        <w:tabs>
          <w:tab w:val="left" w:pos="1680"/>
        </w:tabs>
        <w:ind w:left="2160" w:hanging="420"/>
      </w:pPr>
      <w:rPr>
        <w:rFonts w:hint="default" w:ascii="Wingdings" w:hAnsi="Wingdings"/>
      </w:rPr>
    </w:lvl>
    <w:lvl w:ilvl="4" w:tentative="0">
      <w:start w:val="1"/>
      <w:numFmt w:val="bullet"/>
      <w:lvlText w:val=""/>
      <w:lvlJc w:val="left"/>
      <w:pPr>
        <w:tabs>
          <w:tab w:val="left" w:pos="2100"/>
        </w:tabs>
        <w:ind w:left="2580" w:hanging="420"/>
      </w:pPr>
      <w:rPr>
        <w:rFonts w:hint="default" w:ascii="Wingdings" w:hAnsi="Wingdings"/>
      </w:rPr>
    </w:lvl>
    <w:lvl w:ilvl="5" w:tentative="0">
      <w:start w:val="1"/>
      <w:numFmt w:val="bullet"/>
      <w:lvlText w:val=""/>
      <w:lvlJc w:val="left"/>
      <w:pPr>
        <w:tabs>
          <w:tab w:val="left" w:pos="2520"/>
        </w:tabs>
        <w:ind w:left="3000" w:hanging="420"/>
      </w:pPr>
      <w:rPr>
        <w:rFonts w:hint="default" w:ascii="Wingdings" w:hAnsi="Wingdings"/>
      </w:rPr>
    </w:lvl>
    <w:lvl w:ilvl="6" w:tentative="0">
      <w:start w:val="1"/>
      <w:numFmt w:val="bullet"/>
      <w:lvlText w:val=""/>
      <w:lvlJc w:val="left"/>
      <w:pPr>
        <w:tabs>
          <w:tab w:val="left" w:pos="2940"/>
        </w:tabs>
        <w:ind w:left="3420" w:hanging="420"/>
      </w:pPr>
      <w:rPr>
        <w:rFonts w:hint="default" w:ascii="Wingdings" w:hAnsi="Wingdings"/>
      </w:rPr>
    </w:lvl>
    <w:lvl w:ilvl="7" w:tentative="0">
      <w:start w:val="1"/>
      <w:numFmt w:val="bullet"/>
      <w:lvlText w:val=""/>
      <w:lvlJc w:val="left"/>
      <w:pPr>
        <w:tabs>
          <w:tab w:val="left" w:pos="3360"/>
        </w:tabs>
        <w:ind w:left="3840" w:hanging="420"/>
      </w:pPr>
      <w:rPr>
        <w:rFonts w:hint="default" w:ascii="Wingdings" w:hAnsi="Wingdings"/>
      </w:rPr>
    </w:lvl>
    <w:lvl w:ilvl="8" w:tentative="0">
      <w:start w:val="1"/>
      <w:numFmt w:val="bullet"/>
      <w:lvlText w:val=""/>
      <w:lvlJc w:val="left"/>
      <w:pPr>
        <w:tabs>
          <w:tab w:val="left" w:pos="3780"/>
        </w:tabs>
        <w:ind w:left="426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FE"/>
    <w:rsid w:val="001C39FE"/>
    <w:rsid w:val="00202516"/>
    <w:rsid w:val="005312B3"/>
    <w:rsid w:val="006945C1"/>
    <w:rsid w:val="0090452D"/>
    <w:rsid w:val="00A508E6"/>
    <w:rsid w:val="00C06C5A"/>
    <w:rsid w:val="00E2151C"/>
    <w:rsid w:val="00F41666"/>
    <w:rsid w:val="00F470DB"/>
    <w:rsid w:val="1BF3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numPr>
        <w:ilvl w:val="1"/>
        <w:numId w:val="1"/>
      </w:numPr>
      <w:spacing w:before="260" w:after="260" w:line="415" w:lineRule="auto"/>
      <w:outlineLvl w:val="1"/>
    </w:pPr>
    <w:rPr>
      <w:rFonts w:ascii="Arial" w:hAnsi="Arial" w:eastAsia="黑体"/>
      <w:b w:val="0"/>
      <w:bCs w:val="0"/>
      <w:sz w:val="32"/>
      <w:szCs w:val="32"/>
    </w:rPr>
  </w:style>
  <w:style w:type="paragraph" w:styleId="4">
    <w:name w:val="heading 3"/>
    <w:basedOn w:val="3"/>
    <w:next w:val="1"/>
    <w:qFormat/>
    <w:uiPriority w:val="0"/>
    <w:pPr>
      <w:keepNext/>
      <w:keepLines/>
      <w:widowControl w:val="0"/>
      <w:numPr>
        <w:ilvl w:val="2"/>
        <w:numId w:val="1"/>
      </w:numPr>
      <w:tabs>
        <w:tab w:val="clear" w:pos="567"/>
      </w:tabs>
      <w:spacing w:before="260" w:after="260" w:line="415"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spacing w:after="120"/>
    </w:pPr>
    <w:rPr>
      <w:rFonts w:ascii="Times New Roman" w:hAnsi="Times New Roman" w:eastAsia="宋体" w:cs="Times New Roman"/>
    </w:rPr>
  </w:style>
  <w:style w:type="paragraph" w:styleId="6">
    <w:name w:val="Body Text Indent"/>
    <w:basedOn w:val="1"/>
    <w:link w:val="15"/>
    <w:semiHidden/>
    <w:unhideWhenUsed/>
    <w:qFormat/>
    <w:uiPriority w:val="99"/>
    <w:pPr>
      <w:spacing w:after="120"/>
      <w:ind w:left="420" w:leftChars="200"/>
    </w:pPr>
  </w:style>
  <w:style w:type="paragraph" w:styleId="7">
    <w:name w:val="footer"/>
    <w:basedOn w:val="1"/>
    <w:link w:val="13"/>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9">
    <w:name w:val="Body Text First Indent 2"/>
    <w:basedOn w:val="6"/>
    <w:link w:val="16"/>
    <w:unhideWhenUsed/>
    <w:uiPriority w:val="99"/>
    <w:pPr>
      <w:spacing w:line="240" w:lineRule="auto"/>
      <w:ind w:firstLine="420" w:firstLineChars="200"/>
    </w:pPr>
    <w:rPr>
      <w:rFonts w:ascii="楷体_GB2312" w:eastAsia="楷体_GB2312"/>
      <w:sz w:val="21"/>
      <w:lang w:val="zh-CN" w:eastAsia="zh-CN"/>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uiPriority w:val="99"/>
    <w:rPr>
      <w:sz w:val="18"/>
      <w:szCs w:val="18"/>
    </w:rPr>
  </w:style>
  <w:style w:type="character" w:customStyle="1" w:styleId="14">
    <w:name w:val="标题 1 字符"/>
    <w:basedOn w:val="11"/>
    <w:link w:val="2"/>
    <w:qFormat/>
    <w:uiPriority w:val="0"/>
    <w:rPr>
      <w:rFonts w:ascii="Times New Roman" w:hAnsi="Times New Roman" w:eastAsia="宋体" w:cs="Times New Roman"/>
      <w:b/>
      <w:bCs/>
      <w:kern w:val="44"/>
      <w:sz w:val="44"/>
      <w:szCs w:val="44"/>
    </w:rPr>
  </w:style>
  <w:style w:type="character" w:customStyle="1" w:styleId="15">
    <w:name w:val="正文文本缩进 字符"/>
    <w:basedOn w:val="11"/>
    <w:link w:val="6"/>
    <w:semiHidden/>
    <w:qFormat/>
    <w:uiPriority w:val="99"/>
    <w:rPr>
      <w:rFonts w:ascii="Times New Roman" w:hAnsi="Times New Roman" w:eastAsia="宋体" w:cs="Times New Roman"/>
      <w:sz w:val="24"/>
      <w:szCs w:val="24"/>
    </w:rPr>
  </w:style>
  <w:style w:type="character" w:customStyle="1" w:styleId="16">
    <w:name w:val="正文文本首行缩进 2 字符"/>
    <w:basedOn w:val="15"/>
    <w:link w:val="9"/>
    <w:qFormat/>
    <w:uiPriority w:val="99"/>
    <w:rPr>
      <w:rFonts w:ascii="楷体_GB2312" w:hAnsi="Times New Roman" w:eastAsia="楷体_GB2312" w:cs="Times New Roman"/>
      <w:sz w:val="24"/>
      <w:szCs w:val="24"/>
      <w:lang w:val="zh-CN" w:eastAsia="zh-CN"/>
    </w:rPr>
  </w:style>
  <w:style w:type="paragraph" w:styleId="17">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Words>
  <Characters>4</Characters>
  <Lines>1</Lines>
  <Paragraphs>1</Paragraphs>
  <TotalTime>0</TotalTime>
  <ScaleCrop>false</ScaleCrop>
  <LinksUpToDate>false</LinksUpToDate>
  <CharactersWithSpaces>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2021-07-29T09:27:00Z</dcterms:created>
  <dc:creator>Z</dc:creator>
  <cp:lastModifiedBy>张琪悦</cp:lastModifiedBy>
  <dcterms:modified xsi:type="dcterms:W3CDTF">2025-12-04T02:05:07Z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eyJoZGlkIjoiMGI3ZWY3MzA4Zjc3NjRkNGYyNTkzZTc2NWQ0NzUwMjgiLCJ1c2VySWQiOiI5MTU4MjIyOTEifQ==</vt:lpwstr>
  </property>
  <property fmtid="{D5CDD505-2E9C-101B-9397-08002B2CF9AE}" pid="3" name="KSOProductBuildVer">
    <vt:lpwstr>2052-12.1.0.23542</vt:lpwstr>
  </property>
  <property fmtid="{D5CDD505-2E9C-101B-9397-08002B2CF9AE}" pid="4" name="ICV">
    <vt:lpwstr>028409B710DC48ECA7BD02D09A3A4A16_12</vt:lpwstr>
  </property>
</Properties>
</file>