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F1355">
      <w:pPr>
        <w:pStyle w:val="5"/>
        <w:numPr>
          <w:ilvl w:val="0"/>
          <w:numId w:val="1"/>
        </w:numPr>
        <w:spacing w:before="312" w:after="312"/>
        <w:rPr>
          <w:rFonts w:hint="eastAsia"/>
        </w:rPr>
      </w:pPr>
      <w:bookmarkStart w:id="0" w:name="_Toc428787366"/>
      <w:bookmarkStart w:id="1" w:name="_Toc363638306"/>
      <w:bookmarkStart w:id="2" w:name="_Toc17129"/>
      <w:r>
        <w:rPr>
          <w:color w:val="auto"/>
          <w:highlight w:val="none"/>
        </w:rPr>
        <w:t xml:space="preserve"> 采购</w:t>
      </w:r>
      <w:bookmarkEnd w:id="0"/>
      <w:bookmarkEnd w:id="1"/>
      <w:r>
        <w:rPr>
          <w:color w:val="auto"/>
          <w:highlight w:val="none"/>
        </w:rPr>
        <w:t>需求</w:t>
      </w:r>
      <w:bookmarkEnd w:id="2"/>
    </w:p>
    <w:p w14:paraId="6E3B0DAF">
      <w:pPr>
        <w:adjustRightInd w:val="0"/>
        <w:snapToGrid w:val="0"/>
        <w:spacing w:line="360" w:lineRule="auto"/>
        <w:ind w:firstLine="578" w:firstLineChars="200"/>
        <w:jc w:val="left"/>
        <w:rPr>
          <w:rFonts w:hint="eastAsia" w:ascii="宋体" w:hAnsi="宋体" w:cs="宋体"/>
          <w:b/>
          <w:spacing w:val="24"/>
          <w:kern w:val="0"/>
          <w:sz w:val="24"/>
          <w:szCs w:val="24"/>
        </w:rPr>
      </w:pPr>
      <w:r>
        <w:rPr>
          <w:rFonts w:hint="eastAsia" w:ascii="宋体" w:hAnsi="宋体" w:cs="宋体"/>
          <w:b/>
          <w:spacing w:val="24"/>
          <w:kern w:val="0"/>
          <w:sz w:val="24"/>
          <w:szCs w:val="24"/>
        </w:rPr>
        <w:t>一、项目名称</w:t>
      </w:r>
    </w:p>
    <w:p w14:paraId="145C9DB9">
      <w:pPr>
        <w:adjustRightInd w:val="0"/>
        <w:snapToGrid w:val="0"/>
        <w:spacing w:line="360" w:lineRule="auto"/>
        <w:ind w:firstLine="480" w:firstLineChars="200"/>
        <w:jc w:val="left"/>
        <w:rPr>
          <w:rFonts w:hint="eastAsia" w:ascii="宋体" w:hAnsi="宋体" w:cs="宋体"/>
          <w:b/>
          <w:spacing w:val="24"/>
          <w:kern w:val="0"/>
          <w:sz w:val="24"/>
          <w:szCs w:val="24"/>
        </w:rPr>
      </w:pPr>
      <w:r>
        <w:rPr>
          <w:rFonts w:hint="eastAsia" w:ascii="Arial" w:hAnsi="Arial" w:cs="Arial"/>
          <w:sz w:val="24"/>
          <w:szCs w:val="24"/>
        </w:rPr>
        <w:t>白塔寺宣传片项目</w:t>
      </w:r>
    </w:p>
    <w:p w14:paraId="32E44A83">
      <w:pPr>
        <w:numPr>
          <w:ilvl w:val="0"/>
          <w:numId w:val="2"/>
        </w:numPr>
        <w:adjustRightInd w:val="0"/>
        <w:snapToGrid w:val="0"/>
        <w:spacing w:line="360" w:lineRule="auto"/>
        <w:ind w:firstLine="578" w:firstLineChars="200"/>
        <w:jc w:val="left"/>
        <w:rPr>
          <w:rFonts w:hint="eastAsia" w:ascii="宋体" w:hAnsi="宋体" w:cs="宋体"/>
          <w:b/>
          <w:spacing w:val="24"/>
          <w:kern w:val="0"/>
          <w:sz w:val="24"/>
          <w:szCs w:val="24"/>
        </w:rPr>
      </w:pPr>
      <w:r>
        <w:rPr>
          <w:rFonts w:hint="eastAsia" w:ascii="宋体" w:hAnsi="宋体" w:cs="宋体"/>
          <w:b/>
          <w:spacing w:val="24"/>
          <w:kern w:val="0"/>
          <w:sz w:val="24"/>
          <w:szCs w:val="24"/>
        </w:rPr>
        <w:t>预算金额</w:t>
      </w:r>
    </w:p>
    <w:p w14:paraId="06CD160A">
      <w:pPr>
        <w:adjustRightInd w:val="0"/>
        <w:snapToGrid w:val="0"/>
        <w:spacing w:line="360" w:lineRule="auto"/>
        <w:ind w:firstLine="480" w:firstLineChars="200"/>
        <w:jc w:val="left"/>
        <w:rPr>
          <w:rFonts w:hint="eastAsia" w:ascii="Arial" w:hAnsi="Arial" w:cs="Arial"/>
          <w:sz w:val="24"/>
          <w:szCs w:val="24"/>
        </w:rPr>
      </w:pPr>
      <w:r>
        <w:rPr>
          <w:rFonts w:hint="eastAsia" w:ascii="Arial" w:hAnsi="Arial" w:cs="Arial"/>
          <w:sz w:val="24"/>
          <w:szCs w:val="24"/>
        </w:rPr>
        <w:t>495740元</w:t>
      </w:r>
    </w:p>
    <w:p w14:paraId="19B7D186">
      <w:pPr>
        <w:numPr>
          <w:ilvl w:val="0"/>
          <w:numId w:val="2"/>
        </w:numPr>
        <w:adjustRightInd w:val="0"/>
        <w:snapToGrid w:val="0"/>
        <w:spacing w:line="360" w:lineRule="auto"/>
        <w:ind w:firstLine="578" w:firstLineChars="200"/>
        <w:jc w:val="left"/>
        <w:rPr>
          <w:rFonts w:hint="eastAsia" w:ascii="宋体" w:hAnsi="宋体" w:cs="宋体"/>
          <w:b/>
          <w:spacing w:val="24"/>
          <w:kern w:val="0"/>
          <w:sz w:val="24"/>
          <w:szCs w:val="24"/>
        </w:rPr>
      </w:pPr>
      <w:r>
        <w:rPr>
          <w:rFonts w:hint="eastAsia" w:ascii="宋体" w:hAnsi="宋体" w:cs="宋体"/>
          <w:b/>
          <w:spacing w:val="24"/>
          <w:kern w:val="0"/>
          <w:sz w:val="24"/>
          <w:szCs w:val="24"/>
        </w:rPr>
        <w:t>服务期限及地点</w:t>
      </w:r>
    </w:p>
    <w:p w14:paraId="71DACC3D">
      <w:pPr>
        <w:adjustRightInd w:val="0"/>
        <w:snapToGrid w:val="0"/>
        <w:spacing w:line="360" w:lineRule="auto"/>
        <w:ind w:firstLine="480" w:firstLineChars="200"/>
        <w:jc w:val="left"/>
        <w:rPr>
          <w:rFonts w:hint="eastAsia" w:ascii="Arial" w:hAnsi="Arial" w:cs="Arial"/>
          <w:sz w:val="24"/>
          <w:szCs w:val="24"/>
        </w:rPr>
      </w:pPr>
      <w:r>
        <w:rPr>
          <w:rFonts w:hint="eastAsia" w:ascii="Arial" w:hAnsi="Arial" w:cs="Arial"/>
          <w:sz w:val="24"/>
          <w:szCs w:val="24"/>
        </w:rPr>
        <w:t>服务期限：白塔寺宣传片项拍摄周期为2026年，预计11月底结项</w:t>
      </w:r>
    </w:p>
    <w:p w14:paraId="1AC23726">
      <w:pPr>
        <w:adjustRightInd w:val="0"/>
        <w:snapToGrid w:val="0"/>
        <w:spacing w:line="360" w:lineRule="auto"/>
        <w:ind w:firstLine="480" w:firstLineChars="200"/>
        <w:jc w:val="left"/>
        <w:rPr>
          <w:rFonts w:hint="eastAsia" w:ascii="Arial" w:hAnsi="Arial" w:cs="Arial"/>
          <w:sz w:val="24"/>
          <w:szCs w:val="24"/>
        </w:rPr>
      </w:pPr>
      <w:r>
        <w:rPr>
          <w:rFonts w:hint="eastAsia" w:ascii="Arial" w:hAnsi="Arial" w:cs="Arial"/>
          <w:sz w:val="24"/>
          <w:szCs w:val="24"/>
        </w:rPr>
        <w:t>服务地点：采购人指定地点</w:t>
      </w:r>
    </w:p>
    <w:p w14:paraId="4FB34D53">
      <w:pPr>
        <w:adjustRightInd w:val="0"/>
        <w:snapToGrid w:val="0"/>
        <w:spacing w:line="360" w:lineRule="auto"/>
        <w:ind w:firstLine="578" w:firstLineChars="200"/>
        <w:rPr>
          <w:rFonts w:ascii="宋体" w:hAnsi="宋体" w:cs="宋体"/>
          <w:b/>
          <w:spacing w:val="24"/>
          <w:kern w:val="0"/>
          <w:sz w:val="24"/>
          <w:szCs w:val="24"/>
        </w:rPr>
      </w:pPr>
      <w:r>
        <w:rPr>
          <w:rFonts w:hint="eastAsia" w:ascii="宋体" w:hAnsi="宋体" w:cs="宋体"/>
          <w:b/>
          <w:spacing w:val="24"/>
          <w:kern w:val="0"/>
          <w:sz w:val="24"/>
          <w:szCs w:val="24"/>
        </w:rPr>
        <w:t>四、服务内容</w:t>
      </w:r>
    </w:p>
    <w:p w14:paraId="6CF2E87B">
      <w:pPr>
        <w:adjustRightInd w:val="0"/>
        <w:snapToGrid w:val="0"/>
        <w:spacing w:line="360" w:lineRule="auto"/>
        <w:ind w:firstLine="480" w:firstLineChars="200"/>
        <w:outlineLvl w:val="0"/>
        <w:rPr>
          <w:rFonts w:hint="eastAsia" w:ascii="宋体" w:hAnsi="宋体" w:cs="宋体"/>
          <w:sz w:val="24"/>
          <w:szCs w:val="24"/>
        </w:rPr>
      </w:pPr>
      <w:r>
        <w:rPr>
          <w:rFonts w:hint="eastAsia" w:ascii="宋体" w:hAnsi="宋体" w:cs="宋体"/>
          <w:sz w:val="24"/>
          <w:szCs w:val="24"/>
        </w:rPr>
        <w:t>1、宣传片的内容、成果、用途：系统展示白塔寺的历史文化底蕴、建筑艺术特色及当代文物保护利用，以及涵盖白塔寺的历史沿革、文物价值、特色品牌活动等内容。宣传片由专业影视团队实施，计划宣传片总时长10-15分钟，将采用超高清技术，确保画面细腻清晰，综合运用多种前沿拍摄及后期处理技术，力求视觉效果突破。最终宣传片成片将全面介绍展示白塔寺历史、文化，广泛用于多平台宣传，还将作为数字化档案资料长期留存。</w:t>
      </w:r>
    </w:p>
    <w:p w14:paraId="5B230AFB">
      <w:pPr>
        <w:pStyle w:val="16"/>
        <w:adjustRightInd w:val="0"/>
        <w:snapToGrid w:val="0"/>
        <w:spacing w:before="0" w:after="0" w:line="360" w:lineRule="auto"/>
        <w:jc w:val="both"/>
        <w:rPr>
          <w:rFonts w:hint="eastAsia"/>
          <w:sz w:val="24"/>
          <w:szCs w:val="24"/>
        </w:rPr>
      </w:pPr>
      <w:r>
        <w:rPr>
          <w:rFonts w:hint="eastAsia"/>
          <w:sz w:val="24"/>
          <w:szCs w:val="24"/>
        </w:rPr>
        <w:t>2、内容设计：白塔寺宣传片项目策划不限于多角度、多场景、多季节拍摄，供应商需提供承诺函并加盖公章；</w:t>
      </w:r>
    </w:p>
    <w:p w14:paraId="218CC2A0">
      <w:pPr>
        <w:pStyle w:val="16"/>
        <w:adjustRightInd w:val="0"/>
        <w:snapToGrid w:val="0"/>
        <w:spacing w:before="0" w:after="0" w:line="360" w:lineRule="auto"/>
        <w:rPr>
          <w:rFonts w:hint="eastAsia"/>
          <w:sz w:val="24"/>
          <w:szCs w:val="24"/>
        </w:rPr>
      </w:pPr>
      <w:r>
        <w:rPr>
          <w:rFonts w:hint="eastAsia"/>
          <w:sz w:val="24"/>
          <w:szCs w:val="24"/>
        </w:rPr>
        <w:t>3、所有实施方案需经采购人确认后实施；</w:t>
      </w:r>
    </w:p>
    <w:p w14:paraId="5D6EADEF">
      <w:pPr>
        <w:pStyle w:val="16"/>
        <w:adjustRightInd w:val="0"/>
        <w:snapToGrid w:val="0"/>
        <w:spacing w:before="0" w:after="0" w:line="360" w:lineRule="auto"/>
        <w:rPr>
          <w:rFonts w:hint="eastAsia"/>
          <w:sz w:val="24"/>
          <w:szCs w:val="24"/>
        </w:rPr>
      </w:pPr>
      <w:r>
        <w:rPr>
          <w:rFonts w:hint="eastAsia"/>
          <w:sz w:val="24"/>
          <w:szCs w:val="24"/>
        </w:rPr>
        <w:t>4、组织策划：需要承担宣传片创意策划、拍摄资源的对接引入，包括宣传片拍摄、制作、设备运输等全流程服务；</w:t>
      </w:r>
    </w:p>
    <w:p w14:paraId="731821CF">
      <w:pPr>
        <w:pStyle w:val="16"/>
        <w:adjustRightInd w:val="0"/>
        <w:snapToGrid w:val="0"/>
        <w:spacing w:before="0" w:after="0" w:line="360" w:lineRule="auto"/>
        <w:rPr>
          <w:rFonts w:hint="eastAsia"/>
          <w:sz w:val="24"/>
          <w:szCs w:val="24"/>
        </w:rPr>
      </w:pPr>
      <w:r>
        <w:rPr>
          <w:rFonts w:hint="eastAsia"/>
          <w:sz w:val="24"/>
          <w:szCs w:val="24"/>
        </w:rPr>
        <w:t>5、展示推介：能够独立完成白塔寺宣传片展示推介的策划、设计及制作，能够完成白塔寺历史影像、图片的资源引入、场景设计搭建及现场拍摄展示；</w:t>
      </w:r>
    </w:p>
    <w:p w14:paraId="01CE51D6">
      <w:pPr>
        <w:pStyle w:val="16"/>
        <w:adjustRightInd w:val="0"/>
        <w:snapToGrid w:val="0"/>
        <w:spacing w:before="0" w:after="0" w:line="360" w:lineRule="auto"/>
        <w:rPr>
          <w:rFonts w:hint="eastAsia"/>
          <w:sz w:val="24"/>
          <w:szCs w:val="24"/>
        </w:rPr>
      </w:pPr>
      <w:r>
        <w:rPr>
          <w:rFonts w:hint="eastAsia"/>
          <w:sz w:val="24"/>
          <w:szCs w:val="24"/>
        </w:rPr>
        <w:t>6、整体环境营造：对白塔寺文化特色及艺术审美具有较深的造诣，整体氛围营造和局部区域设计要精准传达宣传片效果，充分突出白塔寺最为地区最具影响的建筑风格和历史文化，营造别具一格的视觉审美，增强公众的认知感；</w:t>
      </w:r>
    </w:p>
    <w:p w14:paraId="1AAFDBBC">
      <w:pPr>
        <w:pStyle w:val="16"/>
        <w:adjustRightInd w:val="0"/>
        <w:snapToGrid w:val="0"/>
        <w:spacing w:before="0" w:after="0" w:line="360" w:lineRule="auto"/>
        <w:rPr>
          <w:rFonts w:hint="eastAsia"/>
          <w:sz w:val="24"/>
          <w:szCs w:val="24"/>
        </w:rPr>
      </w:pPr>
      <w:r>
        <w:rPr>
          <w:rFonts w:hint="eastAsia"/>
          <w:sz w:val="24"/>
          <w:szCs w:val="24"/>
        </w:rPr>
        <w:t>7、支持保障：提供宣传片所需各类应急保障方案，包括不限于消防、安保等公共安全问题，以及不可预见的突发性事件的解决方案和应急措施。</w:t>
      </w:r>
    </w:p>
    <w:p w14:paraId="789FF494">
      <w:pPr>
        <w:pStyle w:val="17"/>
        <w:spacing w:line="360" w:lineRule="auto"/>
        <w:ind w:firstLine="420" w:firstLineChars="175"/>
        <w:rPr>
          <w:rFonts w:hint="eastAsia" w:ascii="宋体" w:hAnsi="宋体" w:cs="宋体"/>
          <w:sz w:val="24"/>
          <w:szCs w:val="24"/>
        </w:rPr>
      </w:pPr>
      <w:r>
        <w:rPr>
          <w:rFonts w:hint="eastAsia" w:ascii="宋体" w:hAnsi="宋体" w:cs="宋体"/>
          <w:sz w:val="24"/>
          <w:szCs w:val="24"/>
          <w:lang w:val="en-US"/>
        </w:rPr>
        <w:t>8、项目团队：供应商需配备专业项目拍摄制作团队，并设置项目负责人一人。项目团队组织结构合理，分工明确，专业配备齐全合理，经验丰富；项目团队具有较强的综合协调、策划和组织实施能力，具有多次统筹策划同类型拍摄宣传片经验，具备与本项目相关的丰富的专业资源和渠道；项目团队中人员对白塔寺、北京历史文化有较深的了解和研究。</w:t>
      </w:r>
    </w:p>
    <w:p w14:paraId="7B9258A1">
      <w:pPr>
        <w:adjustRightInd w:val="0"/>
        <w:snapToGrid w:val="0"/>
        <w:spacing w:line="360" w:lineRule="auto"/>
        <w:ind w:firstLine="578" w:firstLineChars="200"/>
        <w:jc w:val="left"/>
        <w:rPr>
          <w:rFonts w:ascii="宋体" w:hAnsi="宋体" w:cs="宋体"/>
          <w:b/>
          <w:spacing w:val="24"/>
          <w:kern w:val="0"/>
          <w:sz w:val="24"/>
          <w:szCs w:val="24"/>
        </w:rPr>
      </w:pPr>
      <w:r>
        <w:rPr>
          <w:rFonts w:hint="eastAsia" w:ascii="宋体" w:hAnsi="宋体" w:cs="宋体"/>
          <w:b/>
          <w:spacing w:val="24"/>
          <w:kern w:val="0"/>
          <w:sz w:val="24"/>
          <w:szCs w:val="24"/>
        </w:rPr>
        <w:t>五、交付成果</w:t>
      </w:r>
    </w:p>
    <w:p w14:paraId="71C754B1">
      <w:pPr>
        <w:pStyle w:val="16"/>
        <w:adjustRightInd w:val="0"/>
        <w:snapToGrid w:val="0"/>
        <w:spacing w:before="0" w:after="0" w:line="360" w:lineRule="auto"/>
        <w:rPr>
          <w:rFonts w:hint="eastAsia"/>
          <w:sz w:val="24"/>
          <w:szCs w:val="24"/>
        </w:rPr>
      </w:pPr>
      <w:r>
        <w:rPr>
          <w:rFonts w:hint="eastAsia"/>
          <w:sz w:val="24"/>
          <w:szCs w:val="24"/>
        </w:rPr>
        <w:t>1、宣传片时长≥10分钟；</w:t>
      </w:r>
    </w:p>
    <w:p w14:paraId="0E235565">
      <w:pPr>
        <w:pStyle w:val="16"/>
        <w:adjustRightInd w:val="0"/>
        <w:snapToGrid w:val="0"/>
        <w:spacing w:before="0" w:after="0" w:line="360" w:lineRule="auto"/>
        <w:rPr>
          <w:rFonts w:hint="eastAsia"/>
          <w:sz w:val="24"/>
          <w:szCs w:val="24"/>
        </w:rPr>
      </w:pPr>
      <w:r>
        <w:rPr>
          <w:rFonts w:hint="eastAsia"/>
          <w:sz w:val="24"/>
          <w:szCs w:val="24"/>
        </w:rPr>
        <w:t>2、宣传片拍摄运用4K超高清技术，画面细腻清晰；</w:t>
      </w:r>
    </w:p>
    <w:p w14:paraId="10DC36B8">
      <w:pPr>
        <w:pStyle w:val="16"/>
        <w:adjustRightInd w:val="0"/>
        <w:snapToGrid w:val="0"/>
        <w:spacing w:before="0" w:after="0" w:line="360" w:lineRule="auto"/>
        <w:rPr>
          <w:rFonts w:hint="eastAsia"/>
          <w:sz w:val="24"/>
          <w:szCs w:val="24"/>
        </w:rPr>
      </w:pPr>
      <w:r>
        <w:rPr>
          <w:rFonts w:hint="eastAsia"/>
          <w:sz w:val="24"/>
          <w:szCs w:val="24"/>
        </w:rPr>
        <w:t>3、宣传片成片将全面介绍展示白塔寺历史和文化，广泛用于多平台宣传，作为数字化档案资料长期留存；</w:t>
      </w:r>
    </w:p>
    <w:p w14:paraId="7EDF525D">
      <w:pPr>
        <w:pStyle w:val="16"/>
        <w:adjustRightInd w:val="0"/>
        <w:snapToGrid w:val="0"/>
        <w:spacing w:before="0" w:after="0" w:line="360" w:lineRule="auto"/>
        <w:rPr>
          <w:rFonts w:hint="eastAsia"/>
          <w:sz w:val="24"/>
          <w:szCs w:val="24"/>
        </w:rPr>
      </w:pPr>
      <w:r>
        <w:rPr>
          <w:rFonts w:hint="eastAsia"/>
          <w:sz w:val="24"/>
          <w:szCs w:val="24"/>
        </w:rPr>
        <w:t>4、达到90%以上的参与满意度。</w:t>
      </w:r>
    </w:p>
    <w:p w14:paraId="11587DE7">
      <w:pPr>
        <w:adjustRightInd w:val="0"/>
        <w:snapToGrid w:val="0"/>
        <w:spacing w:line="360" w:lineRule="auto"/>
        <w:ind w:firstLine="578" w:firstLineChars="200"/>
        <w:jc w:val="left"/>
        <w:rPr>
          <w:rFonts w:hint="eastAsia" w:ascii="宋体" w:hAnsi="宋体" w:cs="宋体"/>
          <w:b/>
          <w:spacing w:val="24"/>
          <w:kern w:val="0"/>
          <w:sz w:val="24"/>
          <w:szCs w:val="24"/>
        </w:rPr>
      </w:pPr>
      <w:r>
        <w:rPr>
          <w:rFonts w:hint="eastAsia" w:ascii="宋体" w:hAnsi="宋体" w:cs="宋体"/>
          <w:b/>
          <w:spacing w:val="24"/>
          <w:kern w:val="0"/>
          <w:sz w:val="24"/>
          <w:szCs w:val="24"/>
        </w:rPr>
        <w:t>六、其他要求</w:t>
      </w:r>
    </w:p>
    <w:p w14:paraId="70427099">
      <w:pPr>
        <w:pStyle w:val="16"/>
        <w:numPr>
          <w:ilvl w:val="-1"/>
          <w:numId w:val="0"/>
        </w:numPr>
        <w:adjustRightInd w:val="0"/>
        <w:snapToGrid w:val="0"/>
        <w:spacing w:before="0" w:after="0" w:line="360" w:lineRule="auto"/>
        <w:ind w:left="480" w:firstLine="0" w:firstLineChars="0"/>
        <w:rPr>
          <w:rFonts w:hint="eastAsia"/>
          <w:sz w:val="24"/>
          <w:szCs w:val="24"/>
        </w:rPr>
      </w:pPr>
      <w:r>
        <w:rPr>
          <w:rFonts w:hint="eastAsia"/>
          <w:sz w:val="24"/>
          <w:szCs w:val="24"/>
          <w:lang w:val="en-US" w:eastAsia="zh-CN"/>
        </w:rPr>
        <w:t>1、</w:t>
      </w:r>
      <w:r>
        <w:rPr>
          <w:rFonts w:hint="eastAsia"/>
          <w:sz w:val="24"/>
          <w:szCs w:val="24"/>
        </w:rPr>
        <w:t>时间调整要求</w:t>
      </w:r>
    </w:p>
    <w:p w14:paraId="05E6C0E3">
      <w:pPr>
        <w:pStyle w:val="16"/>
        <w:adjustRightInd w:val="0"/>
        <w:snapToGrid w:val="0"/>
        <w:spacing w:before="0" w:after="0" w:line="360" w:lineRule="auto"/>
        <w:rPr>
          <w:rFonts w:hint="eastAsia"/>
          <w:sz w:val="24"/>
          <w:szCs w:val="24"/>
        </w:rPr>
      </w:pPr>
      <w:r>
        <w:rPr>
          <w:rFonts w:hint="eastAsia"/>
          <w:sz w:val="24"/>
          <w:szCs w:val="24"/>
        </w:rPr>
        <w:t>如因不可抗力因素（包括政府及主管部门对本项目的临时调整），供应商应按照采购人要求，调整活动相关内容和举办时间，并在资金预算内进行调配。</w:t>
      </w:r>
    </w:p>
    <w:p w14:paraId="4E0B151B">
      <w:pPr>
        <w:pStyle w:val="16"/>
        <w:adjustRightInd w:val="0"/>
        <w:snapToGrid w:val="0"/>
        <w:spacing w:before="0" w:after="0" w:line="360" w:lineRule="auto"/>
        <w:rPr>
          <w:rFonts w:hint="eastAsia"/>
          <w:sz w:val="24"/>
          <w:szCs w:val="24"/>
        </w:rPr>
      </w:pPr>
      <w:r>
        <w:rPr>
          <w:rFonts w:hint="eastAsia"/>
          <w:sz w:val="24"/>
          <w:szCs w:val="24"/>
        </w:rPr>
        <w:t>2、付款方式</w:t>
      </w:r>
    </w:p>
    <w:p w14:paraId="5A1AA30D">
      <w:pPr>
        <w:pStyle w:val="16"/>
        <w:adjustRightInd w:val="0"/>
        <w:snapToGrid w:val="0"/>
        <w:spacing w:before="0" w:after="0" w:line="360" w:lineRule="auto"/>
        <w:rPr>
          <w:rFonts w:hint="eastAsia"/>
          <w:color w:val="00B0F0"/>
          <w:sz w:val="24"/>
          <w:szCs w:val="24"/>
        </w:rPr>
      </w:pPr>
      <w:r>
        <w:rPr>
          <w:rFonts w:hint="eastAsia"/>
          <w:sz w:val="24"/>
          <w:szCs w:val="24"/>
        </w:rPr>
        <w:t>合同签订生效后15个工作日内采购人支付成交供应商70%合同款，</w:t>
      </w:r>
      <w:bookmarkStart w:id="3" w:name="_Hlk231323230"/>
      <w:r>
        <w:rPr>
          <w:rFonts w:hint="eastAsia"/>
          <w:sz w:val="24"/>
          <w:szCs w:val="24"/>
        </w:rPr>
        <w:t>采购人确认成交供应商交付成果符合合同约定的交付成果的标准后15个工作日内，采购人向成交供应商支付30%合同款。</w:t>
      </w:r>
    </w:p>
    <w:bookmarkEnd w:id="3"/>
    <w:p w14:paraId="18079D66">
      <w:pPr>
        <w:pStyle w:val="11"/>
        <w:tabs>
          <w:tab w:val="left" w:pos="0"/>
          <w:tab w:val="left" w:pos="5580"/>
        </w:tabs>
        <w:adjustRightInd w:val="0"/>
        <w:snapToGrid w:val="0"/>
        <w:spacing w:after="0"/>
        <w:ind w:left="0" w:leftChars="0" w:firstLine="480" w:firstLineChars="200"/>
        <w:rPr>
          <w:rFonts w:hint="eastAsia" w:ascii="宋体" w:hAnsi="宋体" w:cs="宋体"/>
          <w:bCs/>
          <w:sz w:val="24"/>
          <w:szCs w:val="24"/>
        </w:rPr>
      </w:pPr>
      <w:r>
        <w:rPr>
          <w:rFonts w:hint="eastAsia" w:ascii="宋体" w:hAnsi="宋体" w:cs="宋体"/>
          <w:sz w:val="24"/>
          <w:szCs w:val="24"/>
        </w:rPr>
        <w:t>3、</w:t>
      </w:r>
      <w:r>
        <w:rPr>
          <w:rFonts w:hint="eastAsia" w:ascii="宋体" w:hAnsi="宋体" w:cs="宋体"/>
          <w:bCs/>
          <w:sz w:val="24"/>
          <w:szCs w:val="24"/>
        </w:rPr>
        <w:t>保密要求</w:t>
      </w:r>
    </w:p>
    <w:p w14:paraId="3522124E">
      <w:pPr>
        <w:pStyle w:val="16"/>
        <w:adjustRightInd w:val="0"/>
        <w:snapToGrid w:val="0"/>
        <w:spacing w:before="0" w:after="0" w:line="360" w:lineRule="auto"/>
        <w:rPr>
          <w:rFonts w:hint="eastAsia" w:ascii="宋体" w:hAnsi="宋体" w:cs="宋体"/>
          <w:sz w:val="24"/>
          <w:szCs w:val="24"/>
        </w:rPr>
      </w:pPr>
      <w:r>
        <w:rPr>
          <w:rFonts w:hint="eastAsia" w:ascii="宋体" w:hAnsi="宋体" w:cs="宋体"/>
          <w:sz w:val="24"/>
          <w:szCs w:val="24"/>
        </w:rPr>
        <w:t>任何一方对其获知的有关本项目中其他各方的秘密负有保密义务。除非法律、法规另有规定或得到本合同之其他各方的书面许可，任何一方不得向第三人泄露项目相关的秘密。保密期限自任何一方获知该秘密之日起至本条规定的秘密成为公众信息之日止。供</w:t>
      </w:r>
      <w:bookmarkStart w:id="4" w:name="_GoBack"/>
      <w:bookmarkEnd w:id="4"/>
      <w:r>
        <w:rPr>
          <w:rFonts w:hint="eastAsia" w:ascii="宋体" w:hAnsi="宋体" w:cs="宋体"/>
          <w:sz w:val="24"/>
          <w:szCs w:val="24"/>
        </w:rPr>
        <w:t>应商提供针对本项目的保密承诺函（格式自拟）。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70A43"/>
    <w:multiLevelType w:val="singleLevel"/>
    <w:tmpl w:val="C6D70A43"/>
    <w:lvl w:ilvl="0" w:tentative="0">
      <w:start w:val="2"/>
      <w:numFmt w:val="chineseCounting"/>
      <w:suff w:val="nothing"/>
      <w:lvlText w:val="%1、"/>
      <w:lvlJc w:val="left"/>
      <w:rPr>
        <w:rFonts w:hint="eastAsia"/>
      </w:rPr>
    </w:lvl>
  </w:abstractNum>
  <w:abstractNum w:abstractNumId="1">
    <w:nsid w:val="6F31FB87"/>
    <w:multiLevelType w:val="singleLevel"/>
    <w:tmpl w:val="6F31FB87"/>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46472"/>
    <w:rsid w:val="3AAE26C7"/>
    <w:rsid w:val="47E523ED"/>
    <w:rsid w:val="5A3C308B"/>
    <w:rsid w:val="5DFF04D0"/>
    <w:rsid w:val="5F8F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Lines="100" w:afterLines="100" w:line="360" w:lineRule="auto"/>
      <w:jc w:val="center"/>
      <w:outlineLvl w:val="0"/>
    </w:pPr>
    <w:rPr>
      <w:rFonts w:ascii="黑体" w:eastAsia="黑体"/>
      <w:kern w:val="44"/>
      <w:sz w:val="36"/>
      <w:szCs w:val="36"/>
    </w:rPr>
  </w:style>
  <w:style w:type="paragraph" w:styleId="6">
    <w:name w:val="heading 2"/>
    <w:basedOn w:val="1"/>
    <w:next w:val="1"/>
    <w:qFormat/>
    <w:uiPriority w:val="0"/>
    <w:pPr>
      <w:keepNext/>
      <w:keepLines/>
      <w:adjustRightInd w:val="0"/>
      <w:spacing w:before="120" w:after="120" w:line="360" w:lineRule="auto"/>
      <w:ind w:firstLine="480" w:firstLineChars="200"/>
      <w:textAlignment w:val="baseline"/>
      <w:outlineLvl w:val="1"/>
    </w:pPr>
    <w:rPr>
      <w:rFonts w:ascii="黑体" w:hAnsi="Arial" w:eastAsia="黑体"/>
      <w:b/>
      <w:kern w:val="0"/>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360" w:lineRule="auto"/>
      <w:ind w:firstLine="570"/>
    </w:pPr>
    <w:rPr>
      <w:sz w:val="24"/>
    </w:rPr>
  </w:style>
  <w:style w:type="paragraph" w:customStyle="1" w:styleId="3">
    <w:name w:val="样式 正文文本缩进 + 左  0 字符"/>
    <w:basedOn w:val="1"/>
    <w:next w:val="4"/>
    <w:qFormat/>
    <w:uiPriority w:val="99"/>
    <w:pPr>
      <w:spacing w:line="360" w:lineRule="auto"/>
      <w:ind w:firstLine="250" w:firstLineChars="250"/>
    </w:pPr>
    <w:rPr>
      <w:rFonts w:cs="宋体"/>
      <w:kern w:val="0"/>
      <w:sz w:val="24"/>
    </w:rPr>
  </w:style>
  <w:style w:type="paragraph" w:styleId="4">
    <w:name w:val="Balloon Text"/>
    <w:basedOn w:val="1"/>
    <w:qFormat/>
    <w:uiPriority w:val="0"/>
    <w:rPr>
      <w:kern w:val="0"/>
      <w:sz w:val="18"/>
      <w:szCs w:val="18"/>
    </w:rPr>
  </w:style>
  <w:style w:type="paragraph" w:styleId="7">
    <w:name w:val="Salutation"/>
    <w:basedOn w:val="1"/>
    <w:next w:val="1"/>
    <w:qFormat/>
    <w:uiPriority w:val="0"/>
    <w:rPr>
      <w:sz w:val="24"/>
      <w:szCs w:val="20"/>
    </w:r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Date"/>
    <w:basedOn w:val="1"/>
    <w:next w:val="1"/>
    <w:qFormat/>
    <w:uiPriority w:val="0"/>
    <w:pPr>
      <w:ind w:left="100" w:leftChars="2500"/>
    </w:pPr>
    <w:rPr>
      <w:kern w:val="0"/>
      <w:sz w:val="20"/>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paragraph" w:styleId="11">
    <w:name w:val="Body Text First Indent 2"/>
    <w:basedOn w:val="2"/>
    <w:qFormat/>
    <w:uiPriority w:val="0"/>
    <w:pPr>
      <w:spacing w:after="120"/>
      <w:ind w:left="420" w:leftChars="200"/>
    </w:pPr>
    <w:rPr>
      <w:rFonts w:ascii="Calibri" w:hAnsi="Calibri"/>
      <w:szCs w:val="20"/>
    </w:rPr>
  </w:style>
  <w:style w:type="character" w:styleId="14">
    <w:name w:val="Strong"/>
    <w:qFormat/>
    <w:uiPriority w:val="0"/>
    <w:rPr>
      <w:b/>
    </w:rPr>
  </w:style>
  <w:style w:type="paragraph" w:styleId="15">
    <w:name w:val="List Paragraph"/>
    <w:basedOn w:val="1"/>
    <w:qFormat/>
    <w:uiPriority w:val="34"/>
    <w:pPr>
      <w:ind w:firstLine="420" w:firstLineChars="200"/>
    </w:pPr>
    <w:rPr>
      <w:rFonts w:ascii="Calibri" w:hAnsi="Calibri"/>
      <w:szCs w:val="22"/>
    </w:rPr>
  </w:style>
  <w:style w:type="paragraph" w:customStyle="1" w:styleId="16">
    <w:name w:val="正文-首缩2字符"/>
    <w:basedOn w:val="1"/>
    <w:qFormat/>
    <w:uiPriority w:val="99"/>
    <w:pPr>
      <w:spacing w:before="163" w:after="163"/>
      <w:ind w:firstLine="480" w:firstLineChars="200"/>
      <w:jc w:val="left"/>
    </w:pPr>
    <w:rPr>
      <w:rFonts w:ascii="宋体" w:hAnsi="宋体" w:cs="宋体"/>
      <w:szCs w:val="24"/>
    </w:rPr>
  </w:style>
  <w:style w:type="paragraph" w:customStyle="1" w:styleId="17">
    <w:name w:val="1"/>
    <w:qFormat/>
    <w:uiPriority w:val="0"/>
    <w:rPr>
      <w:rFonts w:ascii="Times New Roman" w:hAnsi="Times New Roman" w:eastAsia="宋体" w:cs="Times New Roman"/>
      <w:kern w:val="2"/>
      <w:sz w:val="21"/>
      <w:szCs w:val="24"/>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1912</Words>
  <Characters>2032</Characters>
  <Lines>0</Lines>
  <Paragraphs>0</Paragraphs>
  <TotalTime>0</TotalTime>
  <ScaleCrop>false</ScaleCrop>
  <LinksUpToDate>false</LinksUpToDate>
  <CharactersWithSpaces>2044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2025-04-15T01:14:00Z</dcterms:created>
  <dc:creator>37362</dc:creator>
  <cp:lastModifiedBy>王穎傑</cp:lastModifiedBy>
  <dcterms:modified xsi:type="dcterms:W3CDTF">2026-06-08T05:57:45Z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eyJoZGlkIjoiYmQ1YjMxYjdhNDEyMGI0YjM3NmEwNGM1ZjQ4NjcxZWQiLCJ1c2VySWQiOiIxMDYzNTUxMjU1In0=</vt:lpwstr>
  </property>
  <property fmtid="{D5CDD505-2E9C-101B-9397-08002B2CF9AE}" pid="4" name="ICV">
    <vt:lpwstr>95A38CD4312D478886A913F19C7246C7_12</vt:lpwstr>
  </property>
</Properties>
</file>